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619"/>
        <w:spacing w:after="0"/>
        <w:rPr>
          <w:sz w:val="20"/>
          <w:szCs w:val="20"/>
          <w:color w:val="auto"/>
        </w:rPr>
      </w:pPr>
      <w:r>
        <w:rPr>
          <w:rFonts w:ascii="Arial" w:cs="Arial" w:eastAsia="Arial" w:hAnsi="Arial"/>
          <w:sz w:val="32"/>
          <w:szCs w:val="32"/>
          <w:b w:val="1"/>
          <w:bCs w:val="1"/>
          <w:color w:val="auto"/>
        </w:rPr>
        <w:t>SECURITIES AND EXCHANGE COMMISSION</w:t>
      </w:r>
    </w:p>
    <w:p>
      <w:pPr>
        <w:ind w:left="45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158750</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p>
      <w:pPr>
        <w:ind w:left="4820"/>
        <w:spacing w:after="0"/>
        <w:rPr>
          <w:sz w:val="20"/>
          <w:szCs w:val="20"/>
          <w:color w:val="auto"/>
        </w:rPr>
      </w:pPr>
      <w:r>
        <w:rPr>
          <w:rFonts w:ascii="Arial" w:cs="Arial" w:eastAsia="Arial" w:hAnsi="Arial"/>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186690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76"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OR 15d-16</w:t>
      </w:r>
    </w:p>
    <w:p>
      <w:pPr>
        <w:jc w:val="center"/>
        <w:ind w:right="-6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91"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May 11, 2021</w:t>
      </w:r>
    </w:p>
    <w:p>
      <w:pPr>
        <w:spacing w:after="0" w:line="225" w:lineRule="exact"/>
        <w:rPr>
          <w:sz w:val="24"/>
          <w:szCs w:val="24"/>
          <w:color w:val="auto"/>
        </w:rPr>
      </w:pPr>
    </w:p>
    <w:p>
      <w:pPr>
        <w:ind w:left="4220"/>
        <w:spacing w:after="0"/>
        <w:rPr>
          <w:sz w:val="20"/>
          <w:szCs w:val="20"/>
          <w:color w:val="auto"/>
        </w:rPr>
      </w:pPr>
      <w:r>
        <w:rPr>
          <w:rFonts w:ascii="Arial" w:cs="Arial" w:eastAsia="Arial" w:hAnsi="Arial"/>
          <w:sz w:val="18"/>
          <w:szCs w:val="18"/>
          <w:b w:val="1"/>
          <w:bCs w:val="1"/>
          <w:color w:val="auto"/>
        </w:rPr>
        <w:t>Commission File Number 001-33725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188595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63" w:lineRule="exact"/>
        <w:rPr>
          <w:sz w:val="24"/>
          <w:szCs w:val="24"/>
          <w:color w:val="auto"/>
        </w:rPr>
      </w:pPr>
    </w:p>
    <w:p>
      <w:pPr>
        <w:jc w:val="center"/>
        <w:ind w:right="-619"/>
        <w:spacing w:after="0"/>
        <w:rPr>
          <w:sz w:val="20"/>
          <w:szCs w:val="20"/>
          <w:color w:val="auto"/>
        </w:rPr>
      </w:pPr>
      <w:r>
        <w:rPr>
          <w:rFonts w:ascii="Arial" w:cs="Arial" w:eastAsia="Arial" w:hAnsi="Arial"/>
          <w:sz w:val="43"/>
          <w:szCs w:val="43"/>
          <w:b w:val="1"/>
          <w:bCs w:val="1"/>
          <w:color w:val="auto"/>
        </w:rPr>
        <w:t>Textainer Group Holdings Limited</w:t>
      </w:r>
    </w:p>
    <w:p>
      <w:pPr>
        <w:spacing w:after="0" w:line="50" w:lineRule="exact"/>
        <w:rPr>
          <w:sz w:val="24"/>
          <w:szCs w:val="24"/>
          <w:color w:val="auto"/>
        </w:rPr>
      </w:pPr>
    </w:p>
    <w:p>
      <w:pPr>
        <w:ind w:left="3820"/>
        <w:spacing w:after="0"/>
        <w:rPr>
          <w:sz w:val="20"/>
          <w:szCs w:val="20"/>
          <w:color w:val="auto"/>
        </w:rPr>
      </w:pPr>
      <w:r>
        <w:rPr>
          <w:rFonts w:ascii="Arial" w:cs="Arial" w:eastAsia="Arial" w:hAnsi="Arial"/>
          <w:sz w:val="18"/>
          <w:szCs w:val="18"/>
          <w:b w:val="1"/>
          <w:bCs w:val="1"/>
          <w:color w:val="auto"/>
        </w:rPr>
        <w:t>(Translation of Registrant’s name into English)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55"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Century House</w:t>
      </w:r>
    </w:p>
    <w:p>
      <w:pPr>
        <w:spacing w:after="0" w:line="27"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16 Par-La-Ville Road</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Hamilton HM 08</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Bermuda</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(441) 296-2500</w:t>
      </w:r>
    </w:p>
    <w:p>
      <w:pPr>
        <w:spacing w:after="0" w:line="2" w:lineRule="exact"/>
        <w:rPr>
          <w:sz w:val="24"/>
          <w:szCs w:val="24"/>
          <w:color w:val="auto"/>
        </w:rPr>
      </w:pPr>
    </w:p>
    <w:p>
      <w:pPr>
        <w:ind w:left="4460"/>
        <w:spacing w:after="0"/>
        <w:rPr>
          <w:sz w:val="20"/>
          <w:szCs w:val="20"/>
          <w:color w:val="auto"/>
        </w:rPr>
      </w:pPr>
      <w:r>
        <w:rPr>
          <w:rFonts w:ascii="Arial" w:cs="Arial" w:eastAsia="Arial" w:hAnsi="Arial"/>
          <w:sz w:val="14"/>
          <w:szCs w:val="14"/>
          <w:b w:val="1"/>
          <w:bCs w:val="1"/>
          <w:color w:val="auto"/>
        </w:rPr>
        <w:t>(Address of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159385</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192" w:lineRule="exact"/>
        <w:rPr>
          <w:sz w:val="24"/>
          <w:szCs w:val="24"/>
          <w:color w:val="auto"/>
        </w:rPr>
      </w:pPr>
    </w:p>
    <w:p>
      <w:pPr>
        <w:spacing w:after="0" w:line="207" w:lineRule="exact"/>
        <w:tabs>
          <w:tab w:leader="none" w:pos="12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If “Yes” is marked, indicate below the file number assigned to the registrant in connection with Rule 12g3-2(b): 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126365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601980</wp:posOffset>
            </wp:positionV>
            <wp:extent cx="71748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620"/>
          </w:cols>
          <w:pgMar w:left="320" w:top="463" w:right="959" w:bottom="1440" w:gutter="0" w:footer="0" w:header="0"/>
        </w:sectPr>
      </w:pPr>
    </w:p>
    <w:bookmarkStart w:id="1" w:name="page2"/>
    <w:bookmarkEnd w:id="1"/>
    <w:p>
      <w:pPr>
        <w:ind w:left="520"/>
        <w:spacing w:after="0"/>
        <w:rPr>
          <w:sz w:val="20"/>
          <w:szCs w:val="20"/>
          <w:color w:val="auto"/>
        </w:rPr>
      </w:pPr>
      <w:r>
        <w:rPr>
          <w:rFonts w:ascii="Arial" w:cs="Arial" w:eastAsia="Arial" w:hAnsi="Arial"/>
          <w:sz w:val="16"/>
          <w:szCs w:val="16"/>
          <w:color w:val="auto"/>
        </w:rPr>
        <w:t>This report contains a copy of the press release entitled “Textainer Group Holdings Limited Reports First-Quarter 2021 Results,” dated May 11,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2021.</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w:t>
      </w:r>
    </w:p>
    <w:p>
      <w:pPr>
        <w:spacing w:after="0" w:line="121"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May 11,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880"/>
          </w:cols>
          <w:pgMar w:left="320" w:top="341" w:right="699" w:bottom="1440" w:gutter="0" w:footer="0" w:header="0"/>
        </w:sectPr>
      </w:pPr>
    </w:p>
    <w:bookmarkStart w:id="2" w:name="page3"/>
    <w:bookmarkEnd w:id="2"/>
    <w:p>
      <w:pPr>
        <w:ind w:left="3480"/>
        <w:spacing w:after="0"/>
        <w:rPr>
          <w:sz w:val="20"/>
          <w:szCs w:val="20"/>
          <w:color w:val="auto"/>
        </w:rPr>
      </w:pPr>
      <w:r>
        <w:rPr>
          <w:rFonts w:ascii="Arial" w:cs="Arial" w:eastAsia="Arial" w:hAnsi="Arial"/>
          <w:sz w:val="29"/>
          <w:szCs w:val="29"/>
          <w:b w:val="1"/>
          <w:bCs w:val="1"/>
          <w:color w:val="auto"/>
        </w:rPr>
        <w:t>Textainer Group Holdings Limited</w:t>
      </w:r>
    </w:p>
    <w:p>
      <w:pPr>
        <w:spacing w:after="0" w:line="36" w:lineRule="exact"/>
        <w:rPr>
          <w:sz w:val="20"/>
          <w:szCs w:val="20"/>
          <w:color w:val="auto"/>
        </w:rPr>
      </w:pPr>
    </w:p>
    <w:p>
      <w:pPr>
        <w:ind w:left="3440"/>
        <w:spacing w:after="0"/>
        <w:rPr>
          <w:sz w:val="20"/>
          <w:szCs w:val="20"/>
          <w:color w:val="auto"/>
        </w:rPr>
      </w:pPr>
      <w:r>
        <w:rPr>
          <w:rFonts w:ascii="Arial" w:cs="Arial" w:eastAsia="Arial" w:hAnsi="Arial"/>
          <w:sz w:val="29"/>
          <w:szCs w:val="29"/>
          <w:b w:val="1"/>
          <w:bCs w:val="1"/>
          <w:color w:val="auto"/>
        </w:rPr>
        <w:t>Reports First-Quarter 2021 Results</w:t>
      </w:r>
    </w:p>
    <w:p>
      <w:pPr>
        <w:spacing w:after="0" w:line="206" w:lineRule="exact"/>
        <w:rPr>
          <w:sz w:val="20"/>
          <w:szCs w:val="20"/>
          <w:color w:val="auto"/>
        </w:rPr>
      </w:pPr>
    </w:p>
    <w:p>
      <w:pPr>
        <w:jc w:val="both"/>
        <w:ind w:right="320"/>
        <w:spacing w:after="0" w:line="342" w:lineRule="auto"/>
        <w:rPr>
          <w:sz w:val="20"/>
          <w:szCs w:val="20"/>
          <w:color w:val="auto"/>
        </w:rPr>
      </w:pPr>
      <w:r>
        <w:rPr>
          <w:rFonts w:ascii="Arial" w:cs="Arial" w:eastAsia="Arial" w:hAnsi="Arial"/>
          <w:sz w:val="16"/>
          <w:szCs w:val="16"/>
          <w:color w:val="auto"/>
        </w:rPr>
        <w:t>HAMILTON, Bermuda – (PRNewswire) – May 11, 2021 –Textainer Group Holdings Limited (NYSE: TGH; JSE: TXT) (“Textainer”, “the Company”, “we” and “our”), one of the world’s largest lessors of intermodal containers, today reported financial results for the first-quarter ended March 31, 2021.</w:t>
      </w:r>
    </w:p>
    <w:p>
      <w:pPr>
        <w:spacing w:after="0" w:line="3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Financial Information (in thousands except for per share and TEU amounts) and Business Highlights:</w:t>
      </w:r>
    </w:p>
    <w:p>
      <w:pPr>
        <w:spacing w:after="0" w:line="243" w:lineRule="exact"/>
        <w:rPr>
          <w:sz w:val="20"/>
          <w:szCs w:val="20"/>
          <w:color w:val="auto"/>
        </w:rPr>
      </w:pPr>
    </w:p>
    <w:tbl>
      <w:tblPr>
        <w:tblLayout w:type="fixed"/>
        <w:tblInd w:w="1000" w:type="dxa"/>
        <w:tblCellMar>
          <w:top w:w="0" w:type="dxa"/>
          <w:left w:w="0" w:type="dxa"/>
          <w:bottom w:w="0" w:type="dxa"/>
          <w:right w:w="0" w:type="dxa"/>
        </w:tblCellMar>
      </w:tblPr>
      <w:tr>
        <w:trPr>
          <w:trHeight w:val="213"/>
        </w:trPr>
        <w:tc>
          <w:tcPr>
            <w:tcW w:w="44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6"/>
                <w:szCs w:val="16"/>
                <w:b w:val="1"/>
                <w:bCs w:val="1"/>
                <w:color w:val="auto"/>
              </w:rPr>
              <w:t>QTD</w:t>
            </w:r>
          </w:p>
        </w:tc>
        <w:tc>
          <w:tcPr>
            <w:tcW w:w="1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r>
      <w:tr>
        <w:trPr>
          <w:trHeight w:val="210"/>
        </w:trPr>
        <w:tc>
          <w:tcPr>
            <w:tcW w:w="4460" w:type="dxa"/>
            <w:vAlign w:val="bottom"/>
            <w:tcBorders>
              <w:bottom w:val="single" w:sz="8" w:color="CFF0FC"/>
            </w:tcBorders>
          </w:tcPr>
          <w:p>
            <w:pPr>
              <w:spacing w:after="0"/>
              <w:rPr>
                <w:sz w:val="18"/>
                <w:szCs w:val="18"/>
                <w:color w:val="auto"/>
              </w:rPr>
            </w:pPr>
          </w:p>
        </w:tc>
        <w:tc>
          <w:tcPr>
            <w:tcW w:w="640" w:type="dxa"/>
            <w:vAlign w:val="bottom"/>
            <w:tcBorders>
              <w:bottom w:val="single" w:sz="8" w:color="CFF0FC"/>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w w:val="97"/>
              </w:rPr>
              <w:t>Q1 2021</w:t>
            </w:r>
          </w:p>
        </w:tc>
        <w:tc>
          <w:tcPr>
            <w:tcW w:w="340" w:type="dxa"/>
            <w:vAlign w:val="bottom"/>
            <w:tcBorders>
              <w:bottom w:val="single" w:sz="8" w:color="CFF0FC"/>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Q4 2020</w:t>
            </w:r>
          </w:p>
        </w:tc>
        <w:tc>
          <w:tcPr>
            <w:tcW w:w="240" w:type="dxa"/>
            <w:vAlign w:val="bottom"/>
            <w:tcBorders>
              <w:bottom w:val="single" w:sz="8" w:color="CFF0FC"/>
            </w:tcBorders>
          </w:tcPr>
          <w:p>
            <w:pPr>
              <w:spacing w:after="0"/>
              <w:rPr>
                <w:sz w:val="18"/>
                <w:szCs w:val="18"/>
                <w:color w:val="auto"/>
              </w:rPr>
            </w:pPr>
          </w:p>
        </w:tc>
        <w:tc>
          <w:tcPr>
            <w:tcW w:w="12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Q1 2020</w:t>
            </w:r>
          </w:p>
        </w:tc>
        <w:tc>
          <w:tcPr>
            <w:tcW w:w="160" w:type="dxa"/>
            <w:vAlign w:val="bottom"/>
            <w:tcBorders>
              <w:bottom w:val="single" w:sz="8" w:color="CFF0FC"/>
            </w:tcBorders>
          </w:tcPr>
          <w:p>
            <w:pPr>
              <w:spacing w:after="0"/>
              <w:rPr>
                <w:sz w:val="18"/>
                <w:szCs w:val="18"/>
                <w:color w:val="auto"/>
              </w:rPr>
            </w:pPr>
          </w:p>
        </w:tc>
      </w:tr>
      <w:tr>
        <w:trPr>
          <w:trHeight w:val="212"/>
        </w:trPr>
        <w:tc>
          <w:tcPr>
            <w:tcW w:w="4460" w:type="dxa"/>
            <w:vAlign w:val="bottom"/>
            <w:shd w:val="clear" w:color="auto" w:fill="CFF0FC"/>
          </w:tcPr>
          <w:p>
            <w:pPr>
              <w:spacing w:after="0"/>
              <w:rPr>
                <w:sz w:val="20"/>
                <w:szCs w:val="20"/>
                <w:color w:val="auto"/>
              </w:rPr>
            </w:pPr>
            <w:r>
              <w:rPr>
                <w:rFonts w:ascii="Arial" w:cs="Arial" w:eastAsia="Arial" w:hAnsi="Arial"/>
                <w:sz w:val="16"/>
                <w:szCs w:val="16"/>
                <w:color w:val="auto"/>
              </w:rPr>
              <w:t>Lease rental income</w:t>
            </w:r>
          </w:p>
        </w:tc>
        <w:tc>
          <w:tcPr>
            <w:tcW w:w="78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169,244</w:t>
            </w:r>
          </w:p>
        </w:tc>
        <w:tc>
          <w:tcPr>
            <w:tcW w:w="34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161,491</w:t>
            </w:r>
          </w:p>
        </w:tc>
        <w:tc>
          <w:tcPr>
            <w:tcW w:w="240" w:type="dxa"/>
            <w:vAlign w:val="bottom"/>
            <w:shd w:val="clear" w:color="auto" w:fill="CFF0FC"/>
          </w:tcPr>
          <w:p>
            <w:pPr>
              <w:spacing w:after="0"/>
              <w:rPr>
                <w:sz w:val="18"/>
                <w:szCs w:val="18"/>
                <w:color w:val="auto"/>
              </w:rPr>
            </w:pP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145,478</w:t>
            </w:r>
          </w:p>
        </w:tc>
        <w:tc>
          <w:tcPr>
            <w:tcW w:w="160" w:type="dxa"/>
            <w:vAlign w:val="bottom"/>
            <w:shd w:val="clear" w:color="auto" w:fill="CFF0FC"/>
          </w:tcPr>
          <w:p>
            <w:pPr>
              <w:spacing w:after="0"/>
              <w:rPr>
                <w:sz w:val="18"/>
                <w:szCs w:val="18"/>
                <w:color w:val="auto"/>
              </w:rPr>
            </w:pPr>
          </w:p>
        </w:tc>
      </w:tr>
      <w:tr>
        <w:trPr>
          <w:trHeight w:val="213"/>
        </w:trPr>
        <w:tc>
          <w:tcPr>
            <w:tcW w:w="4460" w:type="dxa"/>
            <w:vAlign w:val="bottom"/>
          </w:tcPr>
          <w:p>
            <w:pPr>
              <w:spacing w:after="0"/>
              <w:rPr>
                <w:sz w:val="20"/>
                <w:szCs w:val="20"/>
                <w:color w:val="auto"/>
              </w:rPr>
            </w:pPr>
            <w:r>
              <w:rPr>
                <w:rFonts w:ascii="Arial" w:cs="Arial" w:eastAsia="Arial" w:hAnsi="Arial"/>
                <w:sz w:val="16"/>
                <w:szCs w:val="16"/>
                <w:color w:val="auto"/>
              </w:rPr>
              <w:t>Gain on sale of owned fleet containers, net</w:t>
            </w:r>
          </w:p>
        </w:tc>
        <w:tc>
          <w:tcPr>
            <w:tcW w:w="7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12,358</w:t>
            </w:r>
          </w:p>
        </w:tc>
        <w:tc>
          <w:tcPr>
            <w:tcW w:w="340" w:type="dxa"/>
            <w:vAlign w:val="bottom"/>
          </w:tcPr>
          <w:p>
            <w:pPr>
              <w:spacing w:after="0"/>
              <w:rPr>
                <w:sz w:val="18"/>
                <w:szCs w:val="18"/>
                <w:color w:val="auto"/>
              </w:rPr>
            </w:pP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7,820</w:t>
            </w:r>
          </w:p>
        </w:tc>
        <w:tc>
          <w:tcPr>
            <w:tcW w:w="240" w:type="dxa"/>
            <w:vAlign w:val="bottom"/>
          </w:tcPr>
          <w:p>
            <w:pPr>
              <w:spacing w:after="0"/>
              <w:rPr>
                <w:sz w:val="18"/>
                <w:szCs w:val="18"/>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5,794</w:t>
            </w:r>
          </w:p>
        </w:tc>
        <w:tc>
          <w:tcPr>
            <w:tcW w:w="160" w:type="dxa"/>
            <w:vAlign w:val="bottom"/>
          </w:tcPr>
          <w:p>
            <w:pPr>
              <w:spacing w:after="0"/>
              <w:rPr>
                <w:sz w:val="18"/>
                <w:szCs w:val="18"/>
                <w:color w:val="auto"/>
              </w:rPr>
            </w:pPr>
          </w:p>
        </w:tc>
      </w:tr>
      <w:tr>
        <w:trPr>
          <w:trHeight w:val="219"/>
        </w:trPr>
        <w:tc>
          <w:tcPr>
            <w:tcW w:w="4460" w:type="dxa"/>
            <w:vAlign w:val="bottom"/>
            <w:shd w:val="clear" w:color="auto" w:fill="CFF0FC"/>
          </w:tcPr>
          <w:p>
            <w:pPr>
              <w:spacing w:after="0"/>
              <w:rPr>
                <w:sz w:val="20"/>
                <w:szCs w:val="20"/>
                <w:color w:val="auto"/>
              </w:rPr>
            </w:pPr>
            <w:r>
              <w:rPr>
                <w:rFonts w:ascii="Arial" w:cs="Arial" w:eastAsia="Arial" w:hAnsi="Arial"/>
                <w:sz w:val="16"/>
                <w:szCs w:val="16"/>
                <w:color w:val="auto"/>
              </w:rPr>
              <w:t>Income from operations</w:t>
            </w:r>
          </w:p>
        </w:tc>
        <w:tc>
          <w:tcPr>
            <w:tcW w:w="78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92,101</w:t>
            </w: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71,816</w:t>
            </w:r>
          </w:p>
        </w:tc>
        <w:tc>
          <w:tcPr>
            <w:tcW w:w="240" w:type="dxa"/>
            <w:vAlign w:val="bottom"/>
            <w:shd w:val="clear" w:color="auto" w:fill="CFF0FC"/>
          </w:tcPr>
          <w:p>
            <w:pPr>
              <w:spacing w:after="0"/>
              <w:rPr>
                <w:sz w:val="19"/>
                <w:szCs w:val="19"/>
                <w:color w:val="auto"/>
              </w:rPr>
            </w:pP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46,409</w:t>
            </w:r>
          </w:p>
        </w:tc>
        <w:tc>
          <w:tcPr>
            <w:tcW w:w="160" w:type="dxa"/>
            <w:vAlign w:val="bottom"/>
            <w:shd w:val="clear" w:color="auto" w:fill="CFF0FC"/>
          </w:tcPr>
          <w:p>
            <w:pPr>
              <w:spacing w:after="0"/>
              <w:rPr>
                <w:sz w:val="19"/>
                <w:szCs w:val="19"/>
                <w:color w:val="auto"/>
              </w:rPr>
            </w:pPr>
          </w:p>
        </w:tc>
      </w:tr>
      <w:tr>
        <w:trPr>
          <w:trHeight w:val="206"/>
        </w:trPr>
        <w:tc>
          <w:tcPr>
            <w:tcW w:w="4460" w:type="dxa"/>
            <w:vAlign w:val="bottom"/>
          </w:tcPr>
          <w:p>
            <w:pPr>
              <w:spacing w:after="0"/>
              <w:rPr>
                <w:sz w:val="20"/>
                <w:szCs w:val="20"/>
                <w:color w:val="auto"/>
              </w:rPr>
            </w:pPr>
            <w:r>
              <w:rPr>
                <w:rFonts w:ascii="Arial" w:cs="Arial" w:eastAsia="Arial" w:hAnsi="Arial"/>
                <w:sz w:val="16"/>
                <w:szCs w:val="16"/>
                <w:color w:val="auto"/>
              </w:rPr>
              <w:t>Net income (loss) attributable to Textainer Group Holdings</w:t>
            </w: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209"/>
        </w:trPr>
        <w:tc>
          <w:tcPr>
            <w:tcW w:w="4460" w:type="dxa"/>
            <w:vAlign w:val="bottom"/>
          </w:tcPr>
          <w:p>
            <w:pPr>
              <w:ind w:left="120"/>
              <w:spacing w:after="0"/>
              <w:rPr>
                <w:sz w:val="20"/>
                <w:szCs w:val="20"/>
                <w:color w:val="auto"/>
              </w:rPr>
            </w:pPr>
            <w:r>
              <w:rPr>
                <w:rFonts w:ascii="Arial" w:cs="Arial" w:eastAsia="Arial" w:hAnsi="Arial"/>
                <w:sz w:val="16"/>
                <w:szCs w:val="16"/>
                <w:color w:val="auto"/>
              </w:rPr>
              <w:t>Limited common shareholders</w:t>
            </w:r>
          </w:p>
        </w:tc>
        <w:tc>
          <w:tcPr>
            <w:tcW w:w="7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62,050</w:t>
            </w:r>
          </w:p>
        </w:tc>
        <w:tc>
          <w:tcPr>
            <w:tcW w:w="340" w:type="dxa"/>
            <w:vAlign w:val="bottom"/>
          </w:tcPr>
          <w:p>
            <w:pPr>
              <w:spacing w:after="0"/>
              <w:rPr>
                <w:sz w:val="18"/>
                <w:szCs w:val="18"/>
                <w:color w:val="auto"/>
              </w:rPr>
            </w:pP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44,260</w:t>
            </w:r>
          </w:p>
        </w:tc>
        <w:tc>
          <w:tcPr>
            <w:tcW w:w="240" w:type="dxa"/>
            <w:vAlign w:val="bottom"/>
          </w:tcPr>
          <w:p>
            <w:pPr>
              <w:spacing w:after="0"/>
              <w:rPr>
                <w:sz w:val="18"/>
                <w:szCs w:val="18"/>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(4,379)</w:t>
            </w:r>
          </w:p>
        </w:tc>
      </w:tr>
      <w:tr>
        <w:trPr>
          <w:trHeight w:val="209"/>
        </w:trPr>
        <w:tc>
          <w:tcPr>
            <w:tcW w:w="4460" w:type="dxa"/>
            <w:vAlign w:val="bottom"/>
            <w:shd w:val="clear" w:color="auto" w:fill="CFF0FC"/>
          </w:tcPr>
          <w:p>
            <w:pPr>
              <w:spacing w:after="0"/>
              <w:rPr>
                <w:sz w:val="20"/>
                <w:szCs w:val="20"/>
                <w:color w:val="auto"/>
              </w:rPr>
            </w:pPr>
            <w:r>
              <w:rPr>
                <w:rFonts w:ascii="Arial" w:cs="Arial" w:eastAsia="Arial" w:hAnsi="Arial"/>
                <w:sz w:val="16"/>
                <w:szCs w:val="16"/>
                <w:color w:val="auto"/>
              </w:rPr>
              <w:t>Net income (loss) attributable to Textainer Group Holdings</w:t>
            </w:r>
          </w:p>
        </w:tc>
        <w:tc>
          <w:tcPr>
            <w:tcW w:w="6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r>
      <w:tr>
        <w:trPr>
          <w:trHeight w:val="212"/>
        </w:trPr>
        <w:tc>
          <w:tcPr>
            <w:tcW w:w="4460" w:type="dxa"/>
            <w:vAlign w:val="bottom"/>
            <w:shd w:val="clear" w:color="auto" w:fill="CFF0FC"/>
          </w:tcPr>
          <w:p>
            <w:pPr>
              <w:ind w:left="120"/>
              <w:spacing w:after="0"/>
              <w:rPr>
                <w:sz w:val="20"/>
                <w:szCs w:val="20"/>
                <w:color w:val="auto"/>
              </w:rPr>
            </w:pPr>
            <w:r>
              <w:rPr>
                <w:rFonts w:ascii="Arial" w:cs="Arial" w:eastAsia="Arial" w:hAnsi="Arial"/>
                <w:sz w:val="16"/>
                <w:szCs w:val="16"/>
                <w:color w:val="auto"/>
              </w:rPr>
              <w:t>Limited common shareholders per diluted common share</w:t>
            </w:r>
          </w:p>
        </w:tc>
        <w:tc>
          <w:tcPr>
            <w:tcW w:w="78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1.22</w:t>
            </w:r>
          </w:p>
        </w:tc>
        <w:tc>
          <w:tcPr>
            <w:tcW w:w="34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0.87</w:t>
            </w:r>
          </w:p>
        </w:tc>
        <w:tc>
          <w:tcPr>
            <w:tcW w:w="240" w:type="dxa"/>
            <w:vAlign w:val="bottom"/>
            <w:shd w:val="clear" w:color="auto" w:fill="CFF0FC"/>
          </w:tcPr>
          <w:p>
            <w:pPr>
              <w:spacing w:after="0"/>
              <w:rPr>
                <w:sz w:val="18"/>
                <w:szCs w:val="18"/>
                <w:color w:val="auto"/>
              </w:rPr>
            </w:pP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(0.08)</w:t>
            </w:r>
          </w:p>
        </w:tc>
      </w:tr>
      <w:tr>
        <w:trPr>
          <w:trHeight w:val="216"/>
        </w:trPr>
        <w:tc>
          <w:tcPr>
            <w:tcW w:w="4460" w:type="dxa"/>
            <w:vAlign w:val="bottom"/>
          </w:tcPr>
          <w:p>
            <w:pPr>
              <w:spacing w:after="0" w:line="216" w:lineRule="exact"/>
              <w:rPr>
                <w:sz w:val="20"/>
                <w:szCs w:val="20"/>
                <w:color w:val="auto"/>
              </w:rPr>
            </w:pPr>
            <w:r>
              <w:rPr>
                <w:rFonts w:ascii="Arial" w:cs="Arial" w:eastAsia="Arial" w:hAnsi="Arial"/>
                <w:sz w:val="15"/>
                <w:szCs w:val="15"/>
                <w:color w:val="auto"/>
              </w:rPr>
              <w:t xml:space="preserve">Adjusted net income </w:t>
            </w:r>
            <w:r>
              <w:rPr>
                <w:rFonts w:ascii="Arial" w:cs="Arial" w:eastAsia="Arial" w:hAnsi="Arial"/>
                <w:sz w:val="25"/>
                <w:szCs w:val="25"/>
                <w:color w:val="auto"/>
                <w:vertAlign w:val="superscript"/>
              </w:rPr>
              <w:t>(1)</w:t>
            </w:r>
          </w:p>
        </w:tc>
        <w:tc>
          <w:tcPr>
            <w:tcW w:w="7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59,152</w:t>
            </w:r>
          </w:p>
        </w:tc>
        <w:tc>
          <w:tcPr>
            <w:tcW w:w="340" w:type="dxa"/>
            <w:vAlign w:val="bottom"/>
          </w:tcPr>
          <w:p>
            <w:pPr>
              <w:spacing w:after="0"/>
              <w:rPr>
                <w:sz w:val="18"/>
                <w:szCs w:val="18"/>
                <w:color w:val="auto"/>
              </w:rPr>
            </w:pP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41,147</w:t>
            </w:r>
          </w:p>
        </w:tc>
        <w:tc>
          <w:tcPr>
            <w:tcW w:w="240" w:type="dxa"/>
            <w:vAlign w:val="bottom"/>
          </w:tcPr>
          <w:p>
            <w:pPr>
              <w:spacing w:after="0"/>
              <w:rPr>
                <w:sz w:val="18"/>
                <w:szCs w:val="18"/>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9,702</w:t>
            </w:r>
          </w:p>
        </w:tc>
        <w:tc>
          <w:tcPr>
            <w:tcW w:w="160" w:type="dxa"/>
            <w:vAlign w:val="bottom"/>
          </w:tcPr>
          <w:p>
            <w:pPr>
              <w:spacing w:after="0"/>
              <w:rPr>
                <w:sz w:val="18"/>
                <w:szCs w:val="18"/>
                <w:color w:val="auto"/>
              </w:rPr>
            </w:pPr>
          </w:p>
        </w:tc>
      </w:tr>
      <w:tr>
        <w:trPr>
          <w:trHeight w:val="216"/>
        </w:trPr>
        <w:tc>
          <w:tcPr>
            <w:tcW w:w="446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Adjusted net income per diluted common share </w:t>
            </w:r>
            <w:r>
              <w:rPr>
                <w:rFonts w:ascii="Arial" w:cs="Arial" w:eastAsia="Arial" w:hAnsi="Arial"/>
                <w:sz w:val="25"/>
                <w:szCs w:val="25"/>
                <w:color w:val="auto"/>
                <w:vertAlign w:val="superscript"/>
              </w:rPr>
              <w:t>(1)</w:t>
            </w:r>
          </w:p>
        </w:tc>
        <w:tc>
          <w:tcPr>
            <w:tcW w:w="78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1.16</w:t>
            </w:r>
          </w:p>
        </w:tc>
        <w:tc>
          <w:tcPr>
            <w:tcW w:w="34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0.81</w:t>
            </w:r>
          </w:p>
        </w:tc>
        <w:tc>
          <w:tcPr>
            <w:tcW w:w="240" w:type="dxa"/>
            <w:vAlign w:val="bottom"/>
            <w:shd w:val="clear" w:color="auto" w:fill="CFF0FC"/>
          </w:tcPr>
          <w:p>
            <w:pPr>
              <w:spacing w:after="0"/>
              <w:rPr>
                <w:sz w:val="18"/>
                <w:szCs w:val="18"/>
                <w:color w:val="auto"/>
              </w:rPr>
            </w:pPr>
          </w:p>
        </w:tc>
        <w:tc>
          <w:tcPr>
            <w:tcW w:w="30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0.17</w:t>
            </w:r>
          </w:p>
        </w:tc>
        <w:tc>
          <w:tcPr>
            <w:tcW w:w="160" w:type="dxa"/>
            <w:vAlign w:val="bottom"/>
            <w:shd w:val="clear" w:color="auto" w:fill="CFF0FC"/>
          </w:tcPr>
          <w:p>
            <w:pPr>
              <w:spacing w:after="0"/>
              <w:rPr>
                <w:sz w:val="18"/>
                <w:szCs w:val="18"/>
                <w:color w:val="auto"/>
              </w:rPr>
            </w:pPr>
          </w:p>
        </w:tc>
      </w:tr>
      <w:tr>
        <w:trPr>
          <w:trHeight w:val="216"/>
        </w:trPr>
        <w:tc>
          <w:tcPr>
            <w:tcW w:w="4460" w:type="dxa"/>
            <w:vAlign w:val="bottom"/>
          </w:tcPr>
          <w:p>
            <w:pPr>
              <w:spacing w:after="0" w:line="216" w:lineRule="exact"/>
              <w:rPr>
                <w:sz w:val="20"/>
                <w:szCs w:val="20"/>
                <w:color w:val="auto"/>
              </w:rPr>
            </w:pPr>
            <w:r>
              <w:rPr>
                <w:rFonts w:ascii="Arial" w:cs="Arial" w:eastAsia="Arial" w:hAnsi="Arial"/>
                <w:sz w:val="15"/>
                <w:szCs w:val="15"/>
                <w:color w:val="auto"/>
              </w:rPr>
              <w:t xml:space="preserve">Adjusted EBITDA </w:t>
            </w:r>
            <w:r>
              <w:rPr>
                <w:rFonts w:ascii="Arial" w:cs="Arial" w:eastAsia="Arial" w:hAnsi="Arial"/>
                <w:sz w:val="25"/>
                <w:szCs w:val="25"/>
                <w:color w:val="auto"/>
                <w:vertAlign w:val="superscript"/>
              </w:rPr>
              <w:t>(1)</w:t>
            </w:r>
          </w:p>
        </w:tc>
        <w:tc>
          <w:tcPr>
            <w:tcW w:w="7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153,110</w:t>
            </w:r>
          </w:p>
        </w:tc>
        <w:tc>
          <w:tcPr>
            <w:tcW w:w="340" w:type="dxa"/>
            <w:vAlign w:val="bottom"/>
          </w:tcPr>
          <w:p>
            <w:pPr>
              <w:spacing w:after="0"/>
              <w:rPr>
                <w:sz w:val="18"/>
                <w:szCs w:val="18"/>
                <w:color w:val="auto"/>
              </w:rPr>
            </w:pP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136,834</w:t>
            </w:r>
          </w:p>
        </w:tc>
        <w:tc>
          <w:tcPr>
            <w:tcW w:w="240" w:type="dxa"/>
            <w:vAlign w:val="bottom"/>
          </w:tcPr>
          <w:p>
            <w:pPr>
              <w:spacing w:after="0"/>
              <w:rPr>
                <w:sz w:val="18"/>
                <w:szCs w:val="18"/>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110,439</w:t>
            </w:r>
          </w:p>
        </w:tc>
        <w:tc>
          <w:tcPr>
            <w:tcW w:w="160" w:type="dxa"/>
            <w:vAlign w:val="bottom"/>
          </w:tcPr>
          <w:p>
            <w:pPr>
              <w:spacing w:after="0"/>
              <w:rPr>
                <w:sz w:val="18"/>
                <w:szCs w:val="18"/>
                <w:color w:val="auto"/>
              </w:rPr>
            </w:pPr>
          </w:p>
        </w:tc>
      </w:tr>
      <w:tr>
        <w:trPr>
          <w:trHeight w:val="216"/>
        </w:trPr>
        <w:tc>
          <w:tcPr>
            <w:tcW w:w="446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Average fleet utilization </w:t>
            </w:r>
            <w:r>
              <w:rPr>
                <w:rFonts w:ascii="Arial" w:cs="Arial" w:eastAsia="Arial" w:hAnsi="Arial"/>
                <w:sz w:val="25"/>
                <w:szCs w:val="25"/>
                <w:color w:val="auto"/>
                <w:vertAlign w:val="superscript"/>
              </w:rPr>
              <w:t>(2)</w:t>
            </w:r>
          </w:p>
        </w:tc>
        <w:tc>
          <w:tcPr>
            <w:tcW w:w="6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200"/>
              <w:spacing w:after="0"/>
              <w:rPr>
                <w:sz w:val="20"/>
                <w:szCs w:val="20"/>
                <w:color w:val="auto"/>
              </w:rPr>
            </w:pPr>
            <w:r>
              <w:rPr>
                <w:rFonts w:ascii="Arial" w:cs="Arial" w:eastAsia="Arial" w:hAnsi="Arial"/>
                <w:sz w:val="16"/>
                <w:szCs w:val="16"/>
                <w:color w:val="auto"/>
              </w:rPr>
              <w:t>99.6%</w:t>
            </w:r>
          </w:p>
        </w:tc>
        <w:tc>
          <w:tcPr>
            <w:tcW w:w="200" w:type="dxa"/>
            <w:vAlign w:val="bottom"/>
            <w:shd w:val="clear" w:color="auto" w:fill="CFF0FC"/>
          </w:tcPr>
          <w:p>
            <w:pPr>
              <w:spacing w:after="0"/>
              <w:rPr>
                <w:sz w:val="18"/>
                <w:szCs w:val="18"/>
                <w:color w:val="auto"/>
              </w:rPr>
            </w:pPr>
          </w:p>
        </w:tc>
        <w:tc>
          <w:tcPr>
            <w:tcW w:w="122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98.5%</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96.2%</w:t>
            </w:r>
          </w:p>
        </w:tc>
      </w:tr>
      <w:tr>
        <w:trPr>
          <w:trHeight w:val="216"/>
        </w:trPr>
        <w:tc>
          <w:tcPr>
            <w:tcW w:w="4460" w:type="dxa"/>
            <w:vAlign w:val="bottom"/>
          </w:tcPr>
          <w:p>
            <w:pPr>
              <w:spacing w:after="0" w:line="216" w:lineRule="exact"/>
              <w:rPr>
                <w:sz w:val="20"/>
                <w:szCs w:val="20"/>
                <w:color w:val="auto"/>
              </w:rPr>
            </w:pPr>
            <w:r>
              <w:rPr>
                <w:rFonts w:ascii="Arial" w:cs="Arial" w:eastAsia="Arial" w:hAnsi="Arial"/>
                <w:sz w:val="15"/>
                <w:szCs w:val="15"/>
                <w:color w:val="auto"/>
              </w:rPr>
              <w:t xml:space="preserve">Total fleet size at end of period (TEU) </w:t>
            </w:r>
            <w:r>
              <w:rPr>
                <w:rFonts w:ascii="Arial" w:cs="Arial" w:eastAsia="Arial" w:hAnsi="Arial"/>
                <w:sz w:val="25"/>
                <w:szCs w:val="25"/>
                <w:color w:val="auto"/>
                <w:vertAlign w:val="superscript"/>
              </w:rPr>
              <w:t>(3)</w:t>
            </w: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3,961,491</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3,774,053</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3,450,680</w:t>
            </w:r>
          </w:p>
        </w:tc>
        <w:tc>
          <w:tcPr>
            <w:tcW w:w="160" w:type="dxa"/>
            <w:vAlign w:val="bottom"/>
          </w:tcPr>
          <w:p>
            <w:pPr>
              <w:spacing w:after="0"/>
              <w:rPr>
                <w:sz w:val="18"/>
                <w:szCs w:val="18"/>
                <w:color w:val="auto"/>
              </w:rPr>
            </w:pPr>
          </w:p>
        </w:tc>
      </w:tr>
      <w:tr>
        <w:trPr>
          <w:trHeight w:val="216"/>
        </w:trPr>
        <w:tc>
          <w:tcPr>
            <w:tcW w:w="4460" w:type="dxa"/>
            <w:vAlign w:val="bottom"/>
            <w:shd w:val="clear" w:color="auto" w:fill="CFF0FC"/>
          </w:tcPr>
          <w:p>
            <w:pPr>
              <w:spacing w:after="0"/>
              <w:rPr>
                <w:sz w:val="20"/>
                <w:szCs w:val="20"/>
                <w:color w:val="auto"/>
              </w:rPr>
            </w:pPr>
            <w:r>
              <w:rPr>
                <w:rFonts w:ascii="Arial" w:cs="Arial" w:eastAsia="Arial" w:hAnsi="Arial"/>
                <w:sz w:val="16"/>
                <w:szCs w:val="16"/>
                <w:color w:val="auto"/>
              </w:rPr>
              <w:t>Owned percentage of total fleet at end of period</w:t>
            </w:r>
          </w:p>
        </w:tc>
        <w:tc>
          <w:tcPr>
            <w:tcW w:w="6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200"/>
              <w:spacing w:after="0"/>
              <w:rPr>
                <w:sz w:val="20"/>
                <w:szCs w:val="20"/>
                <w:color w:val="auto"/>
              </w:rPr>
            </w:pPr>
            <w:r>
              <w:rPr>
                <w:rFonts w:ascii="Arial" w:cs="Arial" w:eastAsia="Arial" w:hAnsi="Arial"/>
                <w:sz w:val="16"/>
                <w:szCs w:val="16"/>
                <w:color w:val="auto"/>
              </w:rPr>
              <w:t>90.2%</w:t>
            </w:r>
          </w:p>
        </w:tc>
        <w:tc>
          <w:tcPr>
            <w:tcW w:w="200" w:type="dxa"/>
            <w:vAlign w:val="bottom"/>
            <w:shd w:val="clear" w:color="auto" w:fill="CFF0FC"/>
          </w:tcPr>
          <w:p>
            <w:pPr>
              <w:spacing w:after="0"/>
              <w:rPr>
                <w:sz w:val="18"/>
                <w:szCs w:val="18"/>
                <w:color w:val="auto"/>
              </w:rPr>
            </w:pPr>
          </w:p>
        </w:tc>
        <w:tc>
          <w:tcPr>
            <w:tcW w:w="122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88.0%</w:t>
            </w: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85.6%</w:t>
            </w:r>
          </w:p>
        </w:tc>
      </w:tr>
    </w:tbl>
    <w:p>
      <w:pPr>
        <w:spacing w:after="0" w:line="200" w:lineRule="exact"/>
        <w:rPr>
          <w:sz w:val="20"/>
          <w:szCs w:val="20"/>
          <w:color w:val="auto"/>
        </w:rPr>
      </w:pPr>
    </w:p>
    <w:p>
      <w:pPr>
        <w:spacing w:after="0" w:line="276" w:lineRule="exact"/>
        <w:rPr>
          <w:sz w:val="20"/>
          <w:szCs w:val="20"/>
          <w:color w:val="auto"/>
        </w:rPr>
      </w:pPr>
    </w:p>
    <w:p>
      <w:pPr>
        <w:ind w:left="1300" w:hanging="361"/>
        <w:spacing w:after="0"/>
        <w:tabs>
          <w:tab w:leader="none" w:pos="1300" w:val="left"/>
        </w:tabs>
        <w:numPr>
          <w:ilvl w:val="1"/>
          <w:numId w:val="1"/>
        </w:numPr>
        <w:rPr>
          <w:rFonts w:ascii="Arial" w:cs="Arial" w:eastAsia="Arial" w:hAnsi="Arial"/>
          <w:sz w:val="16"/>
          <w:szCs w:val="16"/>
          <w:color w:val="auto"/>
        </w:rPr>
      </w:pPr>
      <w:r>
        <w:rPr>
          <w:rFonts w:ascii="Arial" w:cs="Arial" w:eastAsia="Arial" w:hAnsi="Arial"/>
          <w:sz w:val="16"/>
          <w:szCs w:val="16"/>
          <w:color w:val="auto"/>
        </w:rPr>
        <w:t>Refer to the “Use of Non-GAAP Financial Information” set forth below.</w:t>
      </w:r>
    </w:p>
    <w:p>
      <w:pPr>
        <w:spacing w:after="0" w:line="32" w:lineRule="exact"/>
        <w:rPr>
          <w:rFonts w:ascii="Arial" w:cs="Arial" w:eastAsia="Arial" w:hAnsi="Arial"/>
          <w:sz w:val="16"/>
          <w:szCs w:val="16"/>
          <w:color w:val="auto"/>
        </w:rPr>
      </w:pPr>
    </w:p>
    <w:p>
      <w:pPr>
        <w:ind w:left="1300" w:right="60" w:hanging="361"/>
        <w:spacing w:after="0" w:line="265" w:lineRule="auto"/>
        <w:tabs>
          <w:tab w:leader="none" w:pos="1300" w:val="left"/>
        </w:tabs>
        <w:numPr>
          <w:ilvl w:val="1"/>
          <w:numId w:val="1"/>
        </w:numPr>
        <w:rPr>
          <w:rFonts w:ascii="Arial" w:cs="Arial" w:eastAsia="Arial" w:hAnsi="Arial"/>
          <w:sz w:val="16"/>
          <w:szCs w:val="16"/>
          <w:color w:val="auto"/>
        </w:rPr>
      </w:pPr>
      <w:r>
        <w:rPr>
          <w:rFonts w:ascii="Arial" w:cs="Arial" w:eastAsia="Arial" w:hAnsi="Arial"/>
          <w:sz w:val="16"/>
          <w:szCs w:val="16"/>
          <w:color w:val="auto"/>
        </w:rPr>
        <w:t>Utilization is computed by dividing total units on lease in CEUs (cost equivalent unit) by the total units in our fleet in CEUs, excluding CEUs that have been designated as held for sale units and manufactured for us but have not yet been delivered to a lessee. CEU is a unit of measurement based on the approximate cost of a container relative to the cost of a standard 20-foot dry container. These factors may differ slightly from CEU ratios used by others in the industry.</w:t>
      </w:r>
    </w:p>
    <w:p>
      <w:pPr>
        <w:spacing w:after="0" w:line="1" w:lineRule="exact"/>
        <w:rPr>
          <w:rFonts w:ascii="Arial" w:cs="Arial" w:eastAsia="Arial" w:hAnsi="Arial"/>
          <w:sz w:val="16"/>
          <w:szCs w:val="16"/>
          <w:color w:val="auto"/>
        </w:rPr>
      </w:pPr>
    </w:p>
    <w:p>
      <w:pPr>
        <w:ind w:left="1300" w:right="200" w:hanging="361"/>
        <w:spacing w:after="0" w:line="288" w:lineRule="auto"/>
        <w:tabs>
          <w:tab w:leader="none" w:pos="1300" w:val="left"/>
        </w:tabs>
        <w:numPr>
          <w:ilvl w:val="1"/>
          <w:numId w:val="1"/>
        </w:numPr>
        <w:rPr>
          <w:rFonts w:ascii="Arial" w:cs="Arial" w:eastAsia="Arial" w:hAnsi="Arial"/>
          <w:sz w:val="16"/>
          <w:szCs w:val="16"/>
          <w:color w:val="auto"/>
        </w:rPr>
      </w:pPr>
      <w:r>
        <w:rPr>
          <w:rFonts w:ascii="Arial" w:cs="Arial" w:eastAsia="Arial" w:hAnsi="Arial"/>
          <w:sz w:val="16"/>
          <w:szCs w:val="16"/>
          <w:color w:val="auto"/>
        </w:rPr>
        <w:t>TEU refers to a twenty-foot equivalent unit, which is a unit of measurement used in the container shipping industry to compare shipping containers of various lengths to a standard 20-foot container, thus a 20-foot container is one TEU and a 40-foot container is two TEU.</w:t>
      </w:r>
    </w:p>
    <w:p>
      <w:pPr>
        <w:spacing w:after="0" w:line="265" w:lineRule="exact"/>
        <w:rPr>
          <w:rFonts w:ascii="Arial" w:cs="Arial" w:eastAsia="Arial" w:hAnsi="Arial"/>
          <w:sz w:val="16"/>
          <w:szCs w:val="16"/>
          <w:color w:val="auto"/>
        </w:rPr>
      </w:pPr>
    </w:p>
    <w:p>
      <w:pPr>
        <w:ind w:left="880" w:right="620" w:hanging="373"/>
        <w:spacing w:after="0" w:line="277" w:lineRule="auto"/>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Net income of $62.1 million for the first quarter or $1.22 per diluted common share, as compared to $44.3 million, or $0.87 per diluted common share in the fourth quarter of 2020;</w:t>
      </w:r>
    </w:p>
    <w:p>
      <w:pPr>
        <w:spacing w:after="0" w:line="62" w:lineRule="exact"/>
        <w:rPr>
          <w:rFonts w:ascii="Arial" w:cs="Arial" w:eastAsia="Arial" w:hAnsi="Arial"/>
          <w:sz w:val="18"/>
          <w:szCs w:val="18"/>
          <w:color w:val="auto"/>
        </w:rPr>
      </w:pPr>
    </w:p>
    <w:p>
      <w:pPr>
        <w:ind w:left="880" w:right="480" w:hanging="373"/>
        <w:spacing w:after="0" w:line="277" w:lineRule="auto"/>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Adjusted net income of $59.2 million for the first quarter, or $1.16 per diluted common share, as compared to $41.1 million, or $0.81 per diluted common share in the fourth quarter of 2020;</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Adjusted EBITDA of $153.1 million for the first quarter, as compared to $136.8 million in the fourth quarter of 2020;</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Utilization averaged 99.6% for the first quarter, and is currently at 99.7%;</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Invested $580 million in containers delivered during the first quarter, virtually all of which are currently on lease;</w:t>
      </w:r>
    </w:p>
    <w:p>
      <w:pPr>
        <w:spacing w:after="0" w:line="117" w:lineRule="exact"/>
        <w:rPr>
          <w:rFonts w:ascii="Arial" w:cs="Arial" w:eastAsia="Arial" w:hAnsi="Arial"/>
          <w:sz w:val="18"/>
          <w:szCs w:val="18"/>
          <w:color w:val="auto"/>
        </w:rPr>
      </w:pPr>
    </w:p>
    <w:p>
      <w:pPr>
        <w:ind w:left="880" w:right="100" w:hanging="373"/>
        <w:spacing w:after="0" w:line="263" w:lineRule="auto"/>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As announced on March 30, 2021, issued $651 million of fixed-rate asset backed notes that closed on April 20, 2021. Proceeds were used to pay off the 2019-1 notes and to pay down variable-rate bank facilities, which will further lower our effective interest rate and create additional borrowing capacity for future container investment;</w:t>
      </w:r>
    </w:p>
    <w:p>
      <w:pPr>
        <w:spacing w:after="0" w:line="75" w:lineRule="exact"/>
        <w:rPr>
          <w:rFonts w:ascii="Arial" w:cs="Arial" w:eastAsia="Arial" w:hAnsi="Arial"/>
          <w:sz w:val="18"/>
          <w:szCs w:val="18"/>
          <w:color w:val="auto"/>
        </w:rPr>
      </w:pPr>
    </w:p>
    <w:p>
      <w:pPr>
        <w:ind w:left="880" w:right="160" w:hanging="373"/>
        <w:spacing w:after="0" w:line="263" w:lineRule="auto"/>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Repurchased 546,220 shares of common stock at an average price of $19.68 per share during the first quarter under the share repurchase program. On May 1, 2021, Textainer's board of directors authorized an increase to the share repurchase program for an additional $50 million of the Company's outstanding shares; and</w:t>
      </w:r>
    </w:p>
    <w:p>
      <w:pPr>
        <w:spacing w:after="0" w:line="75" w:lineRule="exact"/>
        <w:rPr>
          <w:rFonts w:ascii="Arial" w:cs="Arial" w:eastAsia="Arial" w:hAnsi="Arial"/>
          <w:sz w:val="18"/>
          <w:szCs w:val="18"/>
          <w:color w:val="auto"/>
        </w:rPr>
      </w:pPr>
    </w:p>
    <w:p>
      <w:pPr>
        <w:ind w:left="880" w:hanging="373"/>
        <w:spacing w:after="0" w:line="259" w:lineRule="auto"/>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As announced on April 14, 2021, completed an underwritten public offering of 6,000,000 depositary shares, each representing a 1/1,000th interest in a share of its 7% Series A cumulative redeemable perpetual preference shares, for an aggregate public offering price of $150 million. Textainer’s board of directors approved and declared a quarterly preferred cash dividend, payable on June 15, 2021, to holders of record as of May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389255</wp:posOffset>
            </wp:positionV>
            <wp:extent cx="71748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20"/>
          </w:cols>
          <w:pgMar w:left="320" w:top="108" w:right="359" w:bottom="1440" w:gutter="0" w:footer="0" w:header="0"/>
        </w:sectPr>
      </w:pPr>
    </w:p>
    <w:bookmarkStart w:id="3" w:name="page4"/>
    <w:bookmarkEnd w:id="3"/>
    <w:p>
      <w:pPr>
        <w:ind w:right="140"/>
        <w:spacing w:after="0" w:line="293" w:lineRule="auto"/>
        <w:rPr>
          <w:sz w:val="20"/>
          <w:szCs w:val="20"/>
          <w:color w:val="auto"/>
        </w:rPr>
      </w:pPr>
      <w:r>
        <w:rPr>
          <w:rFonts w:ascii="Arial" w:cs="Arial" w:eastAsia="Arial" w:hAnsi="Arial"/>
          <w:sz w:val="16"/>
          <w:szCs w:val="16"/>
          <w:color w:val="auto"/>
        </w:rPr>
        <w:t>“We are very pleased with our record first quarter results and revenue growth which confirms our strong turnaround. When adjusted for the fewer number of billing days, our lease rental income was 7% higher than in the prior quarter and 16% higher when compared to the first quarter of last year, a solid improvement achieved with unprecedented growth in profitable long-term leases of new containers. We also reported record adjusted EBITDA, which increased $16.3 million, or 11.9%, to $153.1 million, as well as record adjusted net income, which increased $18.0 million, or 43.8%, to $59.2 million, as compared to the fourth quarter of 2020. Our utilization rate averaged 99.6% and return on equity, calculated using the annualized adjusted net income for the quarter, increased to 18%” stated Olivier Ghesquiere, President and Chief Executive Officer of Textainer Group Holdings Limited.</w:t>
      </w:r>
    </w:p>
    <w:p>
      <w:pPr>
        <w:spacing w:after="0" w:line="164"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“We continue to benefit from favorable market conditions underpinned by high trade volumes, resulting in high container demand and prices, and attractive lease yields. We are investing heavily to support this strong market and have taken delivery of containers totaling $580 million during the first quarter and ordered additional containers totaling $700 million for delivery through July 2021. Substantially all these containers are already on, or committed to, attractive long-term leases with the average lease tenure of all contracts negotiated so far this year in excess of 12 years.”</w:t>
      </w:r>
    </w:p>
    <w:p>
      <w:pPr>
        <w:spacing w:after="0" w:line="17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“From July 2020 through July 2021 we will have invested a total of $2.2 billion in new containers that will provide strong cash flow and attractive revenue for many years to come and help facilitate continued profitability improvement. This is a significant investment volume, representing 45% of our container asset value as of the beginning of this period. At the same time, we continue to support our historically high utilization rate by successfully renewing expiring leases under long-term arrangements that guarantee most containers will remain on lease until reaching their sales age, further securing our stable future cash flow.”</w:t>
      </w:r>
    </w:p>
    <w:p>
      <w:pPr>
        <w:spacing w:after="0" w:line="188"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color w:val="auto"/>
        </w:rPr>
        <w:t>“In addition to our strong operating performance, we also continued to take actions to further support the strength of our financial position, including the successful completion of a $651 million fixed-rate asset backed financing, increasing our buyback program by $50 million, and issuing $150 million in attractively priced perpetual preferred shares.”</w:t>
      </w:r>
    </w:p>
    <w:p>
      <w:pPr>
        <w:spacing w:after="0" w:line="184"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“As we look ahead, we expect industry fundamentals will remain favorable through at least the remainder of 2021, mostly driven by a strong economy, continued demand for container trade and stable container production. We plan to continue our disciplined approach to fleet growth, deploying our ample liquidity in new container investments for the most attractive long-term opportunities. We remain committed to our strategic plan and focused on enhancing financial performance and delivering long-term value to our shareholders.” concluded Ghesquiere.</w:t>
      </w: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First-Quarter Results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Lease rental income increased $7.8 million from the fourth quarter of 2020 due to an increase in fleet size, utilization and average rental rate.</w:t>
      </w:r>
    </w:p>
    <w:p>
      <w:pPr>
        <w:spacing w:after="0" w:line="26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Gain on sale of owned fleet containers, net increased $4.5 million from the fourth quarter of 2020, due to a strong increase in the average gain per container sold.</w:t>
      </w:r>
    </w:p>
    <w:p>
      <w:pPr>
        <w:spacing w:after="0" w:line="21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Direct container expense – owned fleet decreased $3.5 million from the fourth quarter of 2020, which includes lower storage costs and maintenance and handling expense resulting from higher utilization.</w:t>
      </w:r>
    </w:p>
    <w:p>
      <w:pPr>
        <w:spacing w:after="0" w:line="197"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Container lessee default recovery was positive by $4.0 million for the quarter, which includes the restructuring and recovery of an insolvent customer that had previously defaulted and was written down during the second quarter of 2019.</w:t>
      </w:r>
    </w:p>
    <w:p>
      <w:pPr>
        <w:spacing w:after="0" w:line="211"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Interest expense increased $1.1 million compared to the fourth quarter of 2020, due to a higher average debt balance, partially offset by a decrease in our average effective interest rate. Realized loss on derivative instruments, net, decreased $0.4 million compared to the fourth quarter of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443230</wp:posOffset>
            </wp:positionV>
            <wp:extent cx="71748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20"/>
          </w:cols>
          <w:pgMar w:left="320" w:top="881" w:right="35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Conference Call and Webcast</w:t>
      </w:r>
    </w:p>
    <w:p>
      <w:pPr>
        <w:spacing w:after="0" w:line="229"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 xml:space="preserve">A conference call to discuss the financial results for the first quarter 2021 will be held at 5:00 pm Eastern Time on Tuesday, May 11, 2021. The dial-in number for the conference call is 1-877-407-9039 (U.S. &amp; Canada) and 1-201-689-8470 (International). The call and archived replay may also be accessed via webcast on Textainer’s Investor Relations website at </w:t>
      </w:r>
      <w:r>
        <w:rPr>
          <w:rFonts w:ascii="Arial" w:cs="Arial" w:eastAsia="Arial" w:hAnsi="Arial"/>
          <w:sz w:val="18"/>
          <w:szCs w:val="18"/>
          <w:u w:val="single" w:color="auto"/>
          <w:color w:val="auto"/>
        </w:rPr>
        <w:t>http://investor.textainer.com</w:t>
      </w:r>
      <w:r>
        <w:rPr>
          <w:rFonts w:ascii="Arial" w:cs="Arial" w:eastAsia="Arial" w:hAnsi="Arial"/>
          <w:sz w:val="18"/>
          <w:szCs w:val="18"/>
          <w:color w:val="auto"/>
        </w:rPr>
        <w: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Textainer Group Holdings Limited</w:t>
      </w:r>
    </w:p>
    <w:p>
      <w:pPr>
        <w:spacing w:after="0" w:line="12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Textainer has operated since 1979 and is one of the world’s largest lessors of intermodal containers with approximately 3.8 million TEU in our owned and managed fleet. We lease containers to approximately 250 customers, including all of the world’s leading international shipping lines, and other lessees. Our fleet consists of standard dry freight, refrigerated intermodal containers, and dry freight specials. We also lease tank containers through our relationship with Trifleet Leasing and are a supplier of containers to the U.S. Military. Textainer is one of the largest and most reliable suppliers of new and used containers. In addition to selling older containers from our fleet, we buy older containers from our shipping line customers for trading and resale. We sold an average of approximately 150,000 containers per year for the last five years to more than 1,500 customers making us one of the largest sellers of used containers. Textainer operates via a network of 14 offices and approximately 400 independent depots worldwide. Textainer has a primary listing on the New York Stock Exchange (NYSE: TGH) and a secondary listing on the Johannesburg Stock Exchange (JSE: TXT). Visit www.textainer.com for additional information about Textainer.</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Important Cautionary Information Regarding Forward-Looking Statements</w:t>
      </w:r>
    </w:p>
    <w:p>
      <w:pPr>
        <w:spacing w:after="0" w:line="27"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press release contains forward-looking statements within the meaning of U.S. securities laws. Forward-looking statements include statements that are not statements of historical facts and may relate to, but are not limited to, expectations or estimates of future operating results or financial performance, capital expenditures, introduction of new products, regulatory compliance, plans for growth and future operations, as well as assumptions relating to the foregoing. In some cases, you can identify forward-looking statements by terminology such as “may,” “will,” “should,” “could,” “expect,” “plan,” “anticipate,” “believe,” “estimate,” “predict,” “intend,” “potential,” “continue” or the negative of these terms or other similar terminology. Readers are cautioned that these forward-looking statements involve risks and uncertainties, are only predictions and may differ materially from actual future events or results. These risks and uncertainties include, without limitation, the following items that could materially and negatively impact our business, results of operations, cash flows, financial condition and future prospects: (i) expiring leases renewals will secure stable future cash flows; (ii) $2.2 billion in new containers will provide strong cash flow and attractive revenue for many years to come and help facilitate continued profitability improvement; and (iii) we expect industry fundamentals will remain favorable through at least the remainder of 2021; and other risks and uncertainties, including those set forth in Textainer’s filings with the Securities and Exchange Commission. For a discussion of some of these risks and uncertainties, see Item 3 “Key Information— Risk Factors” in Textainer’s Annual Report on Form 20-F filed with the Securities and Exchange Commission on March 18, 2021.</w:t>
      </w:r>
    </w:p>
    <w:p>
      <w:pPr>
        <w:spacing w:after="0" w:line="64" w:lineRule="exact"/>
        <w:rPr>
          <w:sz w:val="20"/>
          <w:szCs w:val="20"/>
          <w:color w:val="auto"/>
        </w:rPr>
      </w:pPr>
    </w:p>
    <w:p>
      <w:pPr>
        <w:jc w:val="both"/>
        <w:ind w:right="160"/>
        <w:spacing w:after="0" w:line="263" w:lineRule="auto"/>
        <w:rPr>
          <w:sz w:val="20"/>
          <w:szCs w:val="20"/>
          <w:color w:val="auto"/>
        </w:rPr>
      </w:pPr>
      <w:r>
        <w:rPr>
          <w:rFonts w:ascii="Arial" w:cs="Arial" w:eastAsia="Arial" w:hAnsi="Arial"/>
          <w:sz w:val="18"/>
          <w:szCs w:val="18"/>
          <w:color w:val="auto"/>
        </w:rPr>
        <w:t>Textainer’s views, estimates, plans and outlook as described within this document may change subsequent to the release of this press release. Textainer is under no obligation to modify or update any or all of the statements it has made herein despite any subsequent changes Textainer may make in its views, estimates, plans or outlook for the future.</w:t>
      </w:r>
    </w:p>
    <w:p>
      <w:pPr>
        <w:spacing w:after="0" w:line="400" w:lineRule="exact"/>
        <w:rPr>
          <w:sz w:val="20"/>
          <w:szCs w:val="20"/>
          <w:color w:val="auto"/>
        </w:rPr>
      </w:pPr>
    </w:p>
    <w:p>
      <w:pPr>
        <w:spacing w:after="0"/>
        <w:rPr>
          <w:sz w:val="20"/>
          <w:szCs w:val="20"/>
          <w:color w:val="auto"/>
        </w:rPr>
      </w:pPr>
      <w:r>
        <w:rPr>
          <w:rFonts w:ascii="Arial" w:cs="Arial" w:eastAsia="Arial" w:hAnsi="Arial"/>
          <w:sz w:val="18"/>
          <w:szCs w:val="18"/>
          <w:color w:val="auto"/>
        </w:rPr>
        <w:t>Textainer Group Holdings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Phone: +1 (415) 658-8333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ir@textainer.com</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748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00"/>
          </w:cols>
          <w:pgMar w:left="320" w:top="594" w:right="37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TEXTAINER GROUP HOLDINGS LIMITED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Consolidated Statements of Operations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(All currency expressed in United States dollars in thousands, except per share amounts)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6860" w:type="dxa"/>
            <w:vAlign w:val="bottom"/>
          </w:tcPr>
          <w:p>
            <w:pPr>
              <w:spacing w:after="0"/>
              <w:rPr>
                <w:sz w:val="18"/>
                <w:szCs w:val="18"/>
                <w:color w:val="auto"/>
              </w:rPr>
            </w:pPr>
          </w:p>
        </w:tc>
        <w:tc>
          <w:tcPr>
            <w:tcW w:w="3620" w:type="dxa"/>
            <w:vAlign w:val="bottom"/>
            <w:tcBorders>
              <w:bottom w:val="single" w:sz="8" w:color="auto"/>
            </w:tcBorders>
            <w:gridSpan w:val="6"/>
          </w:tcPr>
          <w:p>
            <w:pPr>
              <w:jc w:val="right"/>
              <w:ind w:right="380"/>
              <w:spacing w:after="0"/>
              <w:rPr>
                <w:sz w:val="20"/>
                <w:szCs w:val="20"/>
                <w:color w:val="auto"/>
              </w:rPr>
            </w:pPr>
            <w:r>
              <w:rPr>
                <w:rFonts w:ascii="Arial" w:cs="Arial" w:eastAsia="Arial" w:hAnsi="Arial"/>
                <w:sz w:val="16"/>
                <w:szCs w:val="16"/>
                <w:b w:val="1"/>
                <w:bCs w:val="1"/>
                <w:color w:val="auto"/>
              </w:rPr>
              <w:t>Three Months Ended March 31,</w:t>
            </w:r>
          </w:p>
        </w:tc>
        <w:tc>
          <w:tcPr>
            <w:tcW w:w="6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860" w:type="dxa"/>
            <w:vAlign w:val="bottom"/>
            <w:tcBorders>
              <w:bottom w:val="single" w:sz="8" w:color="CFF0FC"/>
            </w:tcBorders>
          </w:tcPr>
          <w:p>
            <w:pPr>
              <w:spacing w:after="0"/>
              <w:rPr>
                <w:sz w:val="18"/>
                <w:szCs w:val="18"/>
                <w:color w:val="auto"/>
              </w:rPr>
            </w:pPr>
          </w:p>
        </w:tc>
        <w:tc>
          <w:tcPr>
            <w:tcW w:w="134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6"/>
                <w:szCs w:val="16"/>
                <w:b w:val="1"/>
                <w:bCs w:val="1"/>
                <w:color w:val="auto"/>
              </w:rPr>
              <w:t>2021</w:t>
            </w:r>
          </w:p>
        </w:tc>
        <w:tc>
          <w:tcPr>
            <w:tcW w:w="660" w:type="dxa"/>
            <w:vAlign w:val="bottom"/>
            <w:tcBorders>
              <w:bottom w:val="single" w:sz="8" w:color="auto"/>
            </w:tcBorders>
          </w:tcPr>
          <w:p>
            <w:pPr>
              <w:spacing w:after="0"/>
              <w:rPr>
                <w:sz w:val="18"/>
                <w:szCs w:val="18"/>
                <w:color w:val="auto"/>
              </w:rPr>
            </w:pPr>
          </w:p>
        </w:tc>
        <w:tc>
          <w:tcPr>
            <w:tcW w:w="260" w:type="dxa"/>
            <w:vAlign w:val="bottom"/>
            <w:tcBorders>
              <w:bottom w:val="single" w:sz="8" w:color="CFF0FC"/>
            </w:tcBorders>
          </w:tcPr>
          <w:p>
            <w:pPr>
              <w:spacing w:after="0"/>
              <w:rPr>
                <w:sz w:val="18"/>
                <w:szCs w:val="18"/>
                <w:color w:val="auto"/>
              </w:rPr>
            </w:pPr>
          </w:p>
        </w:tc>
        <w:tc>
          <w:tcPr>
            <w:tcW w:w="136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6"/>
                <w:szCs w:val="16"/>
                <w:b w:val="1"/>
                <w:bCs w:val="1"/>
                <w:color w:val="auto"/>
              </w:rPr>
              <w:t>2020</w:t>
            </w:r>
          </w:p>
        </w:tc>
        <w:tc>
          <w:tcPr>
            <w:tcW w:w="660" w:type="dxa"/>
            <w:vAlign w:val="bottom"/>
            <w:tcBorders>
              <w:bottom w:val="single" w:sz="8" w:color="auto"/>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6860" w:type="dxa"/>
            <w:vAlign w:val="bottom"/>
            <w:shd w:val="clear" w:color="auto" w:fill="CFF0FC"/>
          </w:tcPr>
          <w:p>
            <w:pPr>
              <w:spacing w:after="0"/>
              <w:rPr>
                <w:sz w:val="20"/>
                <w:szCs w:val="20"/>
                <w:color w:val="auto"/>
              </w:rPr>
            </w:pPr>
            <w:r>
              <w:rPr>
                <w:rFonts w:ascii="Arial" w:cs="Arial" w:eastAsia="Arial" w:hAnsi="Arial"/>
                <w:sz w:val="16"/>
                <w:szCs w:val="16"/>
                <w:color w:val="auto"/>
              </w:rPr>
              <w:t>Revenues:</w:t>
            </w:r>
          </w:p>
        </w:tc>
        <w:tc>
          <w:tcPr>
            <w:tcW w:w="1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Lease rental income - owned fleet</w:t>
            </w:r>
          </w:p>
        </w:tc>
        <w:tc>
          <w:tcPr>
            <w:tcW w:w="13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154,423</w:t>
            </w:r>
          </w:p>
        </w:tc>
        <w:tc>
          <w:tcPr>
            <w:tcW w:w="260" w:type="dxa"/>
            <w:vAlign w:val="bottom"/>
          </w:tcPr>
          <w:p>
            <w:pPr>
              <w:spacing w:after="0"/>
              <w:rPr>
                <w:sz w:val="18"/>
                <w:szCs w:val="18"/>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130,072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Lease rental income - managed fleet</w:t>
            </w:r>
          </w:p>
        </w:tc>
        <w:tc>
          <w:tcPr>
            <w:tcW w:w="11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14,821</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15,406</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686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Lease rental income</w:t>
            </w:r>
          </w:p>
        </w:tc>
        <w:tc>
          <w:tcPr>
            <w:tcW w:w="114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169,244</w:t>
            </w:r>
          </w:p>
        </w:tc>
        <w:tc>
          <w:tcPr>
            <w:tcW w:w="260" w:type="dxa"/>
            <w:vAlign w:val="bottom"/>
            <w:tcBorders>
              <w:bottom w:val="single" w:sz="8" w:color="CFF0FC"/>
            </w:tcBorders>
          </w:tcPr>
          <w:p>
            <w:pPr>
              <w:spacing w:after="0"/>
              <w:rPr>
                <w:sz w:val="17"/>
                <w:szCs w:val="17"/>
                <w:color w:val="auto"/>
              </w:rPr>
            </w:pPr>
          </w:p>
        </w:tc>
        <w:tc>
          <w:tcPr>
            <w:tcW w:w="1140" w:type="dxa"/>
            <w:vAlign w:val="bottom"/>
            <w:tcBorders>
              <w:bottom w:val="single" w:sz="8" w:color="CFF0FC"/>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145,478</w:t>
            </w:r>
          </w:p>
        </w:tc>
        <w:tc>
          <w:tcPr>
            <w:tcW w:w="100" w:type="dxa"/>
            <w:vAlign w:val="bottom"/>
            <w:tcBorders>
              <w:bottom w:val="single" w:sz="8" w:color="CFF0FC"/>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68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Management fees - non-leasing</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1,036</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1,484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Trading container sales proceeds</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7,611</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9,585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Cost of trading containers sold</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(5,445)</w:t>
            </w: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(8,936)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686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Trading container margin</w:t>
            </w:r>
          </w:p>
        </w:tc>
        <w:tc>
          <w:tcPr>
            <w:tcW w:w="1140" w:type="dxa"/>
            <w:vAlign w:val="bottom"/>
            <w:tcBorders>
              <w:bottom w:val="single" w:sz="8" w:color="CFF0FC"/>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2,166</w:t>
            </w:r>
          </w:p>
        </w:tc>
        <w:tc>
          <w:tcPr>
            <w:tcW w:w="260" w:type="dxa"/>
            <w:vAlign w:val="bottom"/>
            <w:tcBorders>
              <w:bottom w:val="single" w:sz="8" w:color="CFF0FC"/>
            </w:tcBorders>
          </w:tcPr>
          <w:p>
            <w:pPr>
              <w:spacing w:after="0"/>
              <w:rPr>
                <w:sz w:val="17"/>
                <w:szCs w:val="17"/>
                <w:color w:val="auto"/>
              </w:rPr>
            </w:pPr>
          </w:p>
        </w:tc>
        <w:tc>
          <w:tcPr>
            <w:tcW w:w="1140" w:type="dxa"/>
            <w:vAlign w:val="bottom"/>
            <w:tcBorders>
              <w:bottom w:val="single" w:sz="8" w:color="CFF0FC"/>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649</w:t>
            </w:r>
          </w:p>
        </w:tc>
        <w:tc>
          <w:tcPr>
            <w:tcW w:w="100" w:type="dxa"/>
            <w:vAlign w:val="bottom"/>
            <w:tcBorders>
              <w:bottom w:val="single" w:sz="8" w:color="CFF0FC"/>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68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860" w:type="dxa"/>
            <w:vAlign w:val="bottom"/>
          </w:tcPr>
          <w:p>
            <w:pPr>
              <w:spacing w:after="0"/>
              <w:rPr>
                <w:sz w:val="20"/>
                <w:szCs w:val="20"/>
                <w:color w:val="auto"/>
              </w:rPr>
            </w:pPr>
            <w:r>
              <w:rPr>
                <w:rFonts w:ascii="Arial" w:cs="Arial" w:eastAsia="Arial" w:hAnsi="Arial"/>
                <w:sz w:val="16"/>
                <w:szCs w:val="16"/>
                <w:color w:val="auto"/>
              </w:rPr>
              <w:t>Gain on sale of owned fleet containers, net</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12,358</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5,794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spacing w:after="0"/>
              <w:rPr>
                <w:sz w:val="20"/>
                <w:szCs w:val="20"/>
                <w:color w:val="auto"/>
              </w:rPr>
            </w:pPr>
            <w:r>
              <w:rPr>
                <w:rFonts w:ascii="Arial" w:cs="Arial" w:eastAsia="Arial" w:hAnsi="Arial"/>
                <w:sz w:val="16"/>
                <w:szCs w:val="16"/>
                <w:color w:val="auto"/>
              </w:rPr>
              <w:t>Operating expenses:</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Direct container expense - owned fleet</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6,797</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13,264</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Distribution expense to managed fleet container investors</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13,495</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14,163</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Depreciation expense</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65,806</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66,834</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Amortization expense</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800</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564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General and administrative expense</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10,900</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10,138</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Bad debt (recovery) expense, net</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(1,127)</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2,045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Container lessee default recovery, net</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(3,968)</w:t>
            </w: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686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Total operating expenses</w:t>
            </w:r>
          </w:p>
        </w:tc>
        <w:tc>
          <w:tcPr>
            <w:tcW w:w="1140" w:type="dxa"/>
            <w:vAlign w:val="bottom"/>
            <w:tcBorders>
              <w:bottom w:val="single" w:sz="8" w:color="CFF0FC"/>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92,703</w:t>
            </w:r>
          </w:p>
        </w:tc>
        <w:tc>
          <w:tcPr>
            <w:tcW w:w="260" w:type="dxa"/>
            <w:vAlign w:val="bottom"/>
            <w:tcBorders>
              <w:bottom w:val="single" w:sz="8" w:color="CFF0FC"/>
            </w:tcBorders>
          </w:tcPr>
          <w:p>
            <w:pPr>
              <w:spacing w:after="0"/>
              <w:rPr>
                <w:sz w:val="17"/>
                <w:szCs w:val="17"/>
                <w:color w:val="auto"/>
              </w:rPr>
            </w:pPr>
          </w:p>
        </w:tc>
        <w:tc>
          <w:tcPr>
            <w:tcW w:w="1140" w:type="dxa"/>
            <w:vAlign w:val="bottom"/>
            <w:tcBorders>
              <w:bottom w:val="single" w:sz="8" w:color="CFF0FC"/>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106,996</w:t>
            </w:r>
          </w:p>
        </w:tc>
        <w:tc>
          <w:tcPr>
            <w:tcW w:w="100" w:type="dxa"/>
            <w:vAlign w:val="bottom"/>
            <w:tcBorders>
              <w:bottom w:val="single" w:sz="8" w:color="CFF0FC"/>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6860" w:type="dxa"/>
            <w:vAlign w:val="bottom"/>
            <w:shd w:val="clear" w:color="auto" w:fill="CFF0FC"/>
          </w:tcPr>
          <w:p>
            <w:pPr>
              <w:ind w:left="500"/>
              <w:spacing w:after="0"/>
              <w:rPr>
                <w:sz w:val="20"/>
                <w:szCs w:val="20"/>
                <w:color w:val="auto"/>
              </w:rPr>
            </w:pPr>
            <w:r>
              <w:rPr>
                <w:rFonts w:ascii="Arial" w:cs="Arial" w:eastAsia="Arial" w:hAnsi="Arial"/>
                <w:sz w:val="16"/>
                <w:szCs w:val="16"/>
                <w:color w:val="auto"/>
              </w:rPr>
              <w:t>Income from operations</w:t>
            </w:r>
          </w:p>
        </w:tc>
        <w:tc>
          <w:tcPr>
            <w:tcW w:w="114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92,101</w:t>
            </w:r>
          </w:p>
        </w:tc>
        <w:tc>
          <w:tcPr>
            <w:tcW w:w="2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46,409</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6860" w:type="dxa"/>
            <w:vAlign w:val="bottom"/>
          </w:tcPr>
          <w:p>
            <w:pPr>
              <w:spacing w:after="0"/>
              <w:rPr>
                <w:sz w:val="20"/>
                <w:szCs w:val="20"/>
                <w:color w:val="auto"/>
              </w:rPr>
            </w:pPr>
            <w:r>
              <w:rPr>
                <w:rFonts w:ascii="Arial" w:cs="Arial" w:eastAsia="Arial" w:hAnsi="Arial"/>
                <w:sz w:val="16"/>
                <w:szCs w:val="16"/>
                <w:color w:val="auto"/>
              </w:rPr>
              <w:t>Other (expense) income:</w:t>
            </w: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20"/>
                <w:szCs w:val="20"/>
                <w:color w:val="auto"/>
              </w:rPr>
            </w:pPr>
            <w:r>
              <w:rPr>
                <w:rFonts w:ascii="Arial" w:cs="Arial" w:eastAsia="Arial" w:hAnsi="Arial"/>
                <w:sz w:val="16"/>
                <w:szCs w:val="16"/>
                <w:color w:val="auto"/>
              </w:rPr>
              <w:t>Interest expense</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(29,106)</w:t>
            </w: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(36,112)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spacing w:after="0"/>
              <w:rPr>
                <w:sz w:val="20"/>
                <w:szCs w:val="20"/>
                <w:color w:val="auto"/>
              </w:rPr>
            </w:pPr>
            <w:r>
              <w:rPr>
                <w:rFonts w:ascii="Arial" w:cs="Arial" w:eastAsia="Arial" w:hAnsi="Arial"/>
                <w:sz w:val="16"/>
                <w:szCs w:val="16"/>
                <w:color w:val="auto"/>
              </w:rPr>
              <w:t>Write-off of unamortized debt issuance costs</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(267)</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(122)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20"/>
                <w:szCs w:val="20"/>
                <w:color w:val="auto"/>
              </w:rPr>
            </w:pPr>
            <w:r>
              <w:rPr>
                <w:rFonts w:ascii="Arial" w:cs="Arial" w:eastAsia="Arial" w:hAnsi="Arial"/>
                <w:sz w:val="16"/>
                <w:szCs w:val="16"/>
                <w:color w:val="auto"/>
              </w:rPr>
              <w:t>Interest income</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37</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400</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spacing w:after="0"/>
              <w:rPr>
                <w:sz w:val="20"/>
                <w:szCs w:val="20"/>
                <w:color w:val="auto"/>
              </w:rPr>
            </w:pPr>
            <w:r>
              <w:rPr>
                <w:rFonts w:ascii="Arial" w:cs="Arial" w:eastAsia="Arial" w:hAnsi="Arial"/>
                <w:sz w:val="16"/>
                <w:szCs w:val="16"/>
                <w:color w:val="auto"/>
              </w:rPr>
              <w:t>Realized loss on derivative instruments, net</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(2,956)</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(1,526)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20"/>
                <w:szCs w:val="20"/>
                <w:color w:val="auto"/>
              </w:rPr>
            </w:pPr>
            <w:r>
              <w:rPr>
                <w:rFonts w:ascii="Arial" w:cs="Arial" w:eastAsia="Arial" w:hAnsi="Arial"/>
                <w:sz w:val="16"/>
                <w:szCs w:val="16"/>
                <w:color w:val="auto"/>
              </w:rPr>
              <w:t>Unrealized gain (loss) on derivative instruments, net</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3,192</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(14,937)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spacing w:after="0"/>
              <w:rPr>
                <w:sz w:val="20"/>
                <w:szCs w:val="20"/>
                <w:color w:val="auto"/>
              </w:rPr>
            </w:pPr>
            <w:r>
              <w:rPr>
                <w:rFonts w:ascii="Arial" w:cs="Arial" w:eastAsia="Arial" w:hAnsi="Arial"/>
                <w:sz w:val="16"/>
                <w:szCs w:val="16"/>
                <w:color w:val="auto"/>
              </w:rPr>
              <w:t>Other, net</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115</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60" w:type="dxa"/>
            <w:vAlign w:val="bottom"/>
            <w:vMerge w:val="restart"/>
            <w:shd w:val="clear" w:color="auto" w:fill="CFF0FC"/>
          </w:tcPr>
          <w:p>
            <w:pPr>
              <w:ind w:left="500"/>
              <w:spacing w:after="0"/>
              <w:rPr>
                <w:sz w:val="20"/>
                <w:szCs w:val="20"/>
                <w:color w:val="auto"/>
              </w:rPr>
            </w:pPr>
            <w:r>
              <w:rPr>
                <w:rFonts w:ascii="Arial" w:cs="Arial" w:eastAsia="Arial" w:hAnsi="Arial"/>
                <w:sz w:val="16"/>
                <w:szCs w:val="16"/>
                <w:color w:val="auto"/>
              </w:rPr>
              <w:t>Net other expense</w:t>
            </w:r>
          </w:p>
        </w:tc>
        <w:tc>
          <w:tcPr>
            <w:tcW w:w="11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14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6860" w:type="dxa"/>
            <w:vAlign w:val="bottom"/>
            <w:vMerge w:val="continue"/>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(28,985)</w:t>
            </w: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(52,350)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860" w:type="dxa"/>
            <w:vAlign w:val="bottom"/>
            <w:vMerge w:val="restart"/>
          </w:tcPr>
          <w:p>
            <w:pPr>
              <w:ind w:left="740"/>
              <w:spacing w:after="0"/>
              <w:rPr>
                <w:sz w:val="20"/>
                <w:szCs w:val="20"/>
                <w:color w:val="auto"/>
              </w:rPr>
            </w:pPr>
            <w:r>
              <w:rPr>
                <w:rFonts w:ascii="Arial" w:cs="Arial" w:eastAsia="Arial" w:hAnsi="Arial"/>
                <w:sz w:val="16"/>
                <w:szCs w:val="16"/>
                <w:color w:val="auto"/>
              </w:rPr>
              <w:t>Income (loss) before income tax and noncontrolling interest</w:t>
            </w:r>
          </w:p>
        </w:tc>
        <w:tc>
          <w:tcPr>
            <w:tcW w:w="1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6860" w:type="dxa"/>
            <w:vAlign w:val="bottom"/>
            <w:vMerge w:val="continue"/>
          </w:tcPr>
          <w:p>
            <w:pPr>
              <w:spacing w:after="0"/>
              <w:rPr>
                <w:sz w:val="17"/>
                <w:szCs w:val="17"/>
                <w:color w:val="auto"/>
              </w:rPr>
            </w:pP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63,116</w:t>
            </w:r>
          </w:p>
        </w:tc>
        <w:tc>
          <w:tcPr>
            <w:tcW w:w="2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(5,941)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20"/>
                <w:szCs w:val="20"/>
                <w:color w:val="auto"/>
              </w:rPr>
            </w:pPr>
            <w:r>
              <w:rPr>
                <w:rFonts w:ascii="Arial" w:cs="Arial" w:eastAsia="Arial" w:hAnsi="Arial"/>
                <w:sz w:val="16"/>
                <w:szCs w:val="16"/>
                <w:color w:val="auto"/>
              </w:rPr>
              <w:t>Income tax (expense) benefit</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(1,066)</w:t>
            </w: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833</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60" w:type="dxa"/>
            <w:vAlign w:val="bottom"/>
            <w:vMerge w:val="restart"/>
          </w:tcPr>
          <w:p>
            <w:pPr>
              <w:ind w:left="500"/>
              <w:spacing w:after="0"/>
              <w:rPr>
                <w:sz w:val="20"/>
                <w:szCs w:val="20"/>
                <w:color w:val="auto"/>
              </w:rPr>
            </w:pPr>
            <w:r>
              <w:rPr>
                <w:rFonts w:ascii="Arial" w:cs="Arial" w:eastAsia="Arial" w:hAnsi="Arial"/>
                <w:sz w:val="16"/>
                <w:szCs w:val="16"/>
                <w:color w:val="auto"/>
              </w:rPr>
              <w:t>Net income (loss)</w:t>
            </w:r>
          </w:p>
        </w:tc>
        <w:tc>
          <w:tcPr>
            <w:tcW w:w="114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6860" w:type="dxa"/>
            <w:vAlign w:val="bottom"/>
            <w:vMerge w:val="continue"/>
          </w:tcPr>
          <w:p>
            <w:pPr>
              <w:spacing w:after="0"/>
              <w:rPr>
                <w:sz w:val="17"/>
                <w:szCs w:val="17"/>
                <w:color w:val="auto"/>
              </w:rPr>
            </w:pP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62,050</w:t>
            </w:r>
          </w:p>
        </w:tc>
        <w:tc>
          <w:tcPr>
            <w:tcW w:w="2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(5,108)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spacing w:after="0"/>
              <w:rPr>
                <w:sz w:val="20"/>
                <w:szCs w:val="20"/>
                <w:color w:val="auto"/>
              </w:rPr>
            </w:pPr>
            <w:r>
              <w:rPr>
                <w:rFonts w:ascii="Arial" w:cs="Arial" w:eastAsia="Arial" w:hAnsi="Arial"/>
                <w:sz w:val="16"/>
                <w:szCs w:val="16"/>
                <w:color w:val="auto"/>
              </w:rPr>
              <w:t>Less: Net loss attributable to the noncontrolling interest</w:t>
            </w:r>
          </w:p>
        </w:tc>
        <w:tc>
          <w:tcPr>
            <w:tcW w:w="11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729</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0"/>
        </w:trPr>
        <w:tc>
          <w:tcPr>
            <w:tcW w:w="6860" w:type="dxa"/>
            <w:vAlign w:val="bottom"/>
          </w:tcPr>
          <w:p>
            <w:pPr>
              <w:ind w:left="500"/>
              <w:spacing w:after="0"/>
              <w:rPr>
                <w:sz w:val="20"/>
                <w:szCs w:val="20"/>
                <w:color w:val="auto"/>
              </w:rPr>
            </w:pPr>
            <w:r>
              <w:rPr>
                <w:rFonts w:ascii="Arial" w:cs="Arial" w:eastAsia="Arial" w:hAnsi="Arial"/>
                <w:sz w:val="16"/>
                <w:szCs w:val="16"/>
                <w:color w:val="auto"/>
              </w:rPr>
              <w:t>Net income (loss) attributable to Textainer Group</w:t>
            </w: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9"/>
        </w:trPr>
        <w:tc>
          <w:tcPr>
            <w:tcW w:w="6860" w:type="dxa"/>
            <w:vAlign w:val="bottom"/>
          </w:tcPr>
          <w:p>
            <w:pPr>
              <w:ind w:left="620"/>
              <w:spacing w:after="0"/>
              <w:rPr>
                <w:sz w:val="20"/>
                <w:szCs w:val="20"/>
                <w:color w:val="auto"/>
              </w:rPr>
            </w:pPr>
            <w:r>
              <w:rPr>
                <w:rFonts w:ascii="Arial" w:cs="Arial" w:eastAsia="Arial" w:hAnsi="Arial"/>
                <w:sz w:val="16"/>
                <w:szCs w:val="16"/>
                <w:color w:val="auto"/>
              </w:rPr>
              <w:t>Holdings Limited common shareholders</w:t>
            </w:r>
          </w:p>
        </w:tc>
        <w:tc>
          <w:tcPr>
            <w:tcW w:w="13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62,050</w:t>
            </w:r>
          </w:p>
        </w:tc>
        <w:tc>
          <w:tcPr>
            <w:tcW w:w="260" w:type="dxa"/>
            <w:vAlign w:val="bottom"/>
          </w:tcPr>
          <w:p>
            <w:pPr>
              <w:spacing w:after="0"/>
              <w:rPr>
                <w:sz w:val="21"/>
                <w:szCs w:val="21"/>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(4,379)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0"/>
        </w:trPr>
        <w:tc>
          <w:tcPr>
            <w:tcW w:w="6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color w:val="auto"/>
              </w:rPr>
              <w:t>Net income (loss) attributable to Textainer Group Holdings</w:t>
            </w:r>
          </w:p>
        </w:tc>
        <w:tc>
          <w:tcPr>
            <w:tcW w:w="1140" w:type="dxa"/>
            <w:vAlign w:val="bottom"/>
            <w:tcBorders>
              <w:top w:val="single" w:sz="8" w:color="CFF0FC"/>
            </w:tcBorders>
            <w:shd w:val="clear" w:color="auto" w:fill="CFF0FC"/>
          </w:tcPr>
          <w:p>
            <w:pPr>
              <w:spacing w:after="0"/>
              <w:rPr>
                <w:sz w:val="16"/>
                <w:szCs w:val="16"/>
                <w:color w:val="auto"/>
              </w:rPr>
            </w:pPr>
          </w:p>
        </w:tc>
        <w:tc>
          <w:tcPr>
            <w:tcW w:w="200" w:type="dxa"/>
            <w:vAlign w:val="bottom"/>
            <w:tcBorders>
              <w:top w:val="single" w:sz="8" w:color="auto"/>
            </w:tcBorders>
            <w:shd w:val="clear" w:color="auto" w:fill="CFF0FC"/>
          </w:tcPr>
          <w:p>
            <w:pPr>
              <w:spacing w:after="0"/>
              <w:rPr>
                <w:sz w:val="16"/>
                <w:szCs w:val="16"/>
                <w:color w:val="auto"/>
              </w:rPr>
            </w:pPr>
          </w:p>
        </w:tc>
        <w:tc>
          <w:tcPr>
            <w:tcW w:w="660" w:type="dxa"/>
            <w:vAlign w:val="bottom"/>
            <w:tcBorders>
              <w:top w:val="single" w:sz="8" w:color="auto"/>
            </w:tcBorders>
            <w:shd w:val="clear" w:color="auto" w:fill="CFF0FC"/>
          </w:tcPr>
          <w:p>
            <w:pPr>
              <w:spacing w:after="0"/>
              <w:rPr>
                <w:sz w:val="16"/>
                <w:szCs w:val="16"/>
                <w:color w:val="auto"/>
              </w:rPr>
            </w:pPr>
          </w:p>
        </w:tc>
        <w:tc>
          <w:tcPr>
            <w:tcW w:w="260" w:type="dxa"/>
            <w:vAlign w:val="bottom"/>
            <w:tcBorders>
              <w:top w:val="single" w:sz="8" w:color="CFF0FC"/>
            </w:tcBorders>
            <w:shd w:val="clear" w:color="auto" w:fill="CFF0FC"/>
          </w:tcPr>
          <w:p>
            <w:pPr>
              <w:spacing w:after="0"/>
              <w:rPr>
                <w:sz w:val="16"/>
                <w:szCs w:val="16"/>
                <w:color w:val="auto"/>
              </w:rPr>
            </w:pPr>
          </w:p>
        </w:tc>
        <w:tc>
          <w:tcPr>
            <w:tcW w:w="1140" w:type="dxa"/>
            <w:vAlign w:val="bottom"/>
            <w:tcBorders>
              <w:top w:val="single" w:sz="8" w:color="CFF0FC"/>
            </w:tcBorders>
            <w:shd w:val="clear" w:color="auto" w:fill="CFF0FC"/>
          </w:tcPr>
          <w:p>
            <w:pPr>
              <w:spacing w:after="0"/>
              <w:rPr>
                <w:sz w:val="16"/>
                <w:szCs w:val="16"/>
                <w:color w:val="auto"/>
              </w:rPr>
            </w:pPr>
          </w:p>
        </w:tc>
        <w:tc>
          <w:tcPr>
            <w:tcW w:w="220" w:type="dxa"/>
            <w:vAlign w:val="bottom"/>
            <w:tcBorders>
              <w:top w:val="single" w:sz="8" w:color="auto"/>
            </w:tcBorders>
            <w:shd w:val="clear" w:color="auto" w:fill="CFF0FC"/>
          </w:tcPr>
          <w:p>
            <w:pPr>
              <w:spacing w:after="0"/>
              <w:rPr>
                <w:sz w:val="16"/>
                <w:szCs w:val="16"/>
                <w:color w:val="auto"/>
              </w:rPr>
            </w:pPr>
          </w:p>
        </w:tc>
        <w:tc>
          <w:tcPr>
            <w:tcW w:w="660" w:type="dxa"/>
            <w:vAlign w:val="bottom"/>
            <w:tcBorders>
              <w:top w:val="single" w:sz="8" w:color="auto"/>
            </w:tcBorders>
            <w:shd w:val="clear" w:color="auto" w:fill="CFF0FC"/>
          </w:tcPr>
          <w:p>
            <w:pPr>
              <w:spacing w:after="0"/>
              <w:rPr>
                <w:sz w:val="16"/>
                <w:szCs w:val="16"/>
                <w:color w:val="auto"/>
              </w:rPr>
            </w:pPr>
          </w:p>
        </w:tc>
        <w:tc>
          <w:tcPr>
            <w:tcW w:w="100" w:type="dxa"/>
            <w:vAlign w:val="bottom"/>
            <w:tcBorders>
              <w:top w:val="single" w:sz="8" w:color="CFF0FC"/>
            </w:tcBorders>
            <w:shd w:val="clear" w:color="auto" w:fill="CFF0FC"/>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6860" w:type="dxa"/>
            <w:vAlign w:val="bottom"/>
            <w:shd w:val="clear" w:color="auto" w:fill="CFF0FC"/>
          </w:tcPr>
          <w:p>
            <w:pPr>
              <w:ind w:left="120"/>
              <w:spacing w:after="0"/>
              <w:rPr>
                <w:sz w:val="20"/>
                <w:szCs w:val="20"/>
                <w:color w:val="auto"/>
              </w:rPr>
            </w:pPr>
            <w:r>
              <w:rPr>
                <w:rFonts w:ascii="Arial" w:cs="Arial" w:eastAsia="Arial" w:hAnsi="Arial"/>
                <w:sz w:val="16"/>
                <w:szCs w:val="16"/>
                <w:color w:val="auto"/>
              </w:rPr>
              <w:t>Limited common shareholders per share:</w:t>
            </w:r>
          </w:p>
        </w:tc>
        <w:tc>
          <w:tcPr>
            <w:tcW w:w="11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860" w:type="dxa"/>
            <w:vAlign w:val="bottom"/>
          </w:tcPr>
          <w:p>
            <w:pPr>
              <w:ind w:left="260"/>
              <w:spacing w:after="0"/>
              <w:rPr>
                <w:sz w:val="20"/>
                <w:szCs w:val="20"/>
                <w:color w:val="auto"/>
              </w:rPr>
            </w:pPr>
            <w:r>
              <w:rPr>
                <w:rFonts w:ascii="Arial" w:cs="Arial" w:eastAsia="Arial" w:hAnsi="Arial"/>
                <w:sz w:val="16"/>
                <w:szCs w:val="16"/>
                <w:color w:val="auto"/>
              </w:rPr>
              <w:t>Basic</w:t>
            </w:r>
          </w:p>
        </w:tc>
        <w:tc>
          <w:tcPr>
            <w:tcW w:w="13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1.24</w:t>
            </w:r>
          </w:p>
        </w:tc>
        <w:tc>
          <w:tcPr>
            <w:tcW w:w="260" w:type="dxa"/>
            <w:vAlign w:val="bottom"/>
          </w:tcPr>
          <w:p>
            <w:pPr>
              <w:spacing w:after="0"/>
              <w:rPr>
                <w:sz w:val="18"/>
                <w:szCs w:val="18"/>
                <w:color w:val="auto"/>
              </w:rPr>
            </w:pPr>
          </w:p>
        </w:tc>
        <w:tc>
          <w:tcPr>
            <w:tcW w:w="13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760" w:type="dxa"/>
            <w:vAlign w:val="bottom"/>
            <w:gridSpan w:val="2"/>
          </w:tcPr>
          <w:p>
            <w:pPr>
              <w:jc w:val="right"/>
              <w:ind w:right="60"/>
              <w:spacing w:after="0"/>
              <w:rPr>
                <w:sz w:val="20"/>
                <w:szCs w:val="20"/>
                <w:color w:val="auto"/>
              </w:rPr>
            </w:pPr>
            <w:r>
              <w:rPr>
                <w:rFonts w:ascii="Arial" w:cs="Arial" w:eastAsia="Arial" w:hAnsi="Arial"/>
                <w:sz w:val="16"/>
                <w:szCs w:val="16"/>
                <w:color w:val="auto"/>
              </w:rPr>
              <w:t>(0.08)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Diluted</w:t>
            </w:r>
          </w:p>
        </w:tc>
        <w:tc>
          <w:tcPr>
            <w:tcW w:w="134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1.22</w:t>
            </w:r>
          </w:p>
        </w:tc>
        <w:tc>
          <w:tcPr>
            <w:tcW w:w="26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w:t>
            </w: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(0.08)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60" w:type="dxa"/>
            <w:vAlign w:val="bottom"/>
          </w:tcPr>
          <w:p>
            <w:pPr>
              <w:spacing w:after="0"/>
              <w:rPr>
                <w:sz w:val="20"/>
                <w:szCs w:val="20"/>
                <w:color w:val="auto"/>
              </w:rPr>
            </w:pPr>
            <w:r>
              <w:rPr>
                <w:rFonts w:ascii="Arial" w:cs="Arial" w:eastAsia="Arial" w:hAnsi="Arial"/>
                <w:sz w:val="16"/>
                <w:szCs w:val="16"/>
                <w:color w:val="auto"/>
              </w:rPr>
              <w:t>Weighted average shares outstanding (in thousands):</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8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Basic</w:t>
            </w:r>
          </w:p>
        </w:tc>
        <w:tc>
          <w:tcPr>
            <w:tcW w:w="1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50,150</w:t>
            </w:r>
          </w:p>
        </w:tc>
        <w:tc>
          <w:tcPr>
            <w:tcW w:w="26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56,455</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860" w:type="dxa"/>
            <w:vAlign w:val="bottom"/>
          </w:tcPr>
          <w:p>
            <w:pPr>
              <w:ind w:left="260"/>
              <w:spacing w:after="0"/>
              <w:rPr>
                <w:sz w:val="20"/>
                <w:szCs w:val="20"/>
                <w:color w:val="auto"/>
              </w:rPr>
            </w:pPr>
            <w:r>
              <w:rPr>
                <w:rFonts w:ascii="Arial" w:cs="Arial" w:eastAsia="Arial" w:hAnsi="Arial"/>
                <w:sz w:val="16"/>
                <w:szCs w:val="16"/>
                <w:color w:val="auto"/>
              </w:rPr>
              <w:t>Diluted</w:t>
            </w: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50,865</w:t>
            </w: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56,455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1"/>
        </w:trPr>
        <w:tc>
          <w:tcPr>
            <w:tcW w:w="686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18"/>
          <w:szCs w:val="18"/>
          <w:b w:val="1"/>
          <w:bCs w:val="1"/>
          <w:color w:val="auto"/>
        </w:rPr>
        <w:t>TEXTAINER GROUP HOLDINGS LIMITED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(All currency expressed in United States dollars 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7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480"/>
              <w:spacing w:after="0"/>
              <w:rPr>
                <w:sz w:val="20"/>
                <w:szCs w:val="20"/>
                <w:color w:val="auto"/>
              </w:rPr>
            </w:pPr>
            <w:r>
              <w:rPr>
                <w:rFonts w:ascii="Arial" w:cs="Arial" w:eastAsia="Arial" w:hAnsi="Arial"/>
                <w:sz w:val="16"/>
                <w:szCs w:val="16"/>
                <w:b w:val="1"/>
                <w:bCs w:val="1"/>
                <w:color w:val="auto"/>
                <w:w w:val="98"/>
              </w:rPr>
              <w:t>March 31, 2021</w:t>
            </w:r>
          </w:p>
        </w:tc>
        <w:tc>
          <w:tcPr>
            <w:tcW w:w="80" w:type="dxa"/>
            <w:vAlign w:val="bottom"/>
          </w:tcPr>
          <w:p>
            <w:pPr>
              <w:spacing w:after="0"/>
              <w:rPr>
                <w:sz w:val="18"/>
                <w:szCs w:val="18"/>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b w:val="1"/>
                <w:bCs w:val="1"/>
                <w:color w:val="auto"/>
                <w:w w:val="90"/>
              </w:rPr>
              <w:t>December 31, 2020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7900" w:type="dxa"/>
            <w:vAlign w:val="bottom"/>
            <w:tcBorders>
              <w:top w:val="single" w:sz="8" w:color="CFF0FC"/>
            </w:tcBorders>
            <w:shd w:val="clear" w:color="auto" w:fill="CFF0FC"/>
          </w:tcPr>
          <w:p>
            <w:pPr>
              <w:ind w:left="3640"/>
              <w:spacing w:after="0"/>
              <w:rPr>
                <w:sz w:val="20"/>
                <w:szCs w:val="20"/>
                <w:color w:val="auto"/>
              </w:rPr>
            </w:pPr>
            <w:r>
              <w:rPr>
                <w:rFonts w:ascii="Arial" w:cs="Arial" w:eastAsia="Arial" w:hAnsi="Arial"/>
                <w:sz w:val="16"/>
                <w:szCs w:val="16"/>
                <w:b w:val="1"/>
                <w:bCs w:val="1"/>
                <w:color w:val="auto"/>
              </w:rPr>
              <w:t>Assets</w:t>
            </w:r>
          </w:p>
        </w:tc>
        <w:tc>
          <w:tcPr>
            <w:tcW w:w="12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14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Current assets:</w:t>
            </w: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Cash and cash equivalents</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142,345</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131,018</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Accounts receivable, net of allowance of $2,088 and $2,663, respectively</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110,994</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108,578</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Net investment in finance leases, net of allowance of $81 and $169, respectively</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87,451</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78,459</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Container leaseback financing receivable, net of allowance of $41 and $98, respectively</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28,495</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27,076</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Trading containers</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5,390</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9,375</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Containers held for sale</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10,890</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15,629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Prepaid expenses and other current assets</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12,431</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13,713</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Due from affiliates, net</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1,998</w:t>
            </w:r>
          </w:p>
        </w:tc>
        <w:tc>
          <w:tcPr>
            <w:tcW w:w="28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1,509</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current assets</w:t>
            </w: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399,994</w:t>
            </w:r>
          </w:p>
        </w:tc>
        <w:tc>
          <w:tcPr>
            <w:tcW w:w="2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385,357</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Restricted cash</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70,276</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74,147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Containers, net of accumulated depreciation of $1,674,907 and $1,619,591, respectively</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4,416,008</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4,125,052</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Net investment in finance leases, net of allowance of $561 and $1,164 respectively</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983,169</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801,501</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Container leaseback financing receivable, net of allowance of $115 and $326, respectively</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335,259</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336,792</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Fixed assets, net of accumulated depreciation of $13,041 and $12,918, respectively</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628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746</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Intangible assets, net of accumulated amortization of $48,731 and $47,931, respectively</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1,919</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2,719</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Derivative instruments</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2,188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47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Deferred taxes</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1,154</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1,153</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Other assets</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13,117</w:t>
            </w:r>
          </w:p>
        </w:tc>
        <w:tc>
          <w:tcPr>
            <w:tcW w:w="28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13,862</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90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6"/>
                <w:szCs w:val="16"/>
                <w:color w:val="auto"/>
              </w:rPr>
              <w:t>Total assets</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6,223,712</w:t>
            </w:r>
          </w:p>
        </w:tc>
        <w:tc>
          <w:tcPr>
            <w:tcW w:w="280" w:type="dxa"/>
            <w:vAlign w:val="bottom"/>
            <w:tcBorders>
              <w:bottom w:val="single" w:sz="8" w:color="CFF0FC"/>
            </w:tcBorders>
            <w:shd w:val="clear" w:color="auto" w:fill="CFF0FC"/>
          </w:tcPr>
          <w:p>
            <w:pPr>
              <w:spacing w:after="0"/>
              <w:rPr>
                <w:sz w:val="18"/>
                <w:szCs w:val="18"/>
                <w:color w:val="auto"/>
              </w:rPr>
            </w:pPr>
          </w:p>
        </w:tc>
        <w:tc>
          <w:tcPr>
            <w:tcW w:w="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5,741,376</w:t>
            </w:r>
          </w:p>
        </w:tc>
        <w:tc>
          <w:tcPr>
            <w:tcW w:w="100" w:type="dxa"/>
            <w:vAlign w:val="bottom"/>
            <w:tcBorders>
              <w:bottom w:val="single" w:sz="8" w:color="CFF0FC"/>
            </w:tcBorders>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900" w:type="dxa"/>
            <w:vAlign w:val="bottom"/>
            <w:vMerge w:val="restart"/>
          </w:tcPr>
          <w:p>
            <w:pPr>
              <w:ind w:left="3120"/>
              <w:spacing w:after="0"/>
              <w:rPr>
                <w:sz w:val="20"/>
                <w:szCs w:val="20"/>
                <w:color w:val="auto"/>
              </w:rPr>
            </w:pPr>
            <w:r>
              <w:rPr>
                <w:rFonts w:ascii="Arial" w:cs="Arial" w:eastAsia="Arial" w:hAnsi="Arial"/>
                <w:sz w:val="16"/>
                <w:szCs w:val="16"/>
                <w:b w:val="1"/>
                <w:bCs w:val="1"/>
                <w:color w:val="auto"/>
              </w:rPr>
              <w:t>Liabilities and Equity</w:t>
            </w: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9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Current liabilities:</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Accounts payable and accrued expenses</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spacing w:after="0"/>
              <w:rPr>
                <w:sz w:val="20"/>
                <w:szCs w:val="20"/>
                <w:color w:val="auto"/>
              </w:rPr>
            </w:pPr>
            <w:r>
              <w:rPr>
                <w:rFonts w:ascii="Arial" w:cs="Arial" w:eastAsia="Arial" w:hAnsi="Arial"/>
                <w:sz w:val="16"/>
                <w:szCs w:val="16"/>
                <w:color w:val="auto"/>
              </w:rPr>
              <w:t>17,266</w:t>
            </w: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Pr>
          <w:p>
            <w:pPr>
              <w:jc w:val="right"/>
              <w:spacing w:after="0"/>
              <w:rPr>
                <w:sz w:val="20"/>
                <w:szCs w:val="20"/>
                <w:color w:val="auto"/>
              </w:rPr>
            </w:pPr>
            <w:r>
              <w:rPr>
                <w:rFonts w:ascii="Arial" w:cs="Arial" w:eastAsia="Arial" w:hAnsi="Arial"/>
                <w:sz w:val="16"/>
                <w:szCs w:val="16"/>
                <w:color w:val="auto"/>
              </w:rPr>
              <w:t>24,385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Container contracts payable</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489,922</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231,647</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Other liabilities</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3,596</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2,288</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Due to container investors, net</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24,844</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18,697</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Debt, net of unamortized costs of $7,238 and $8,043, respectively</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295,518</w:t>
            </w:r>
          </w:p>
        </w:tc>
        <w:tc>
          <w:tcPr>
            <w:tcW w:w="28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408,365</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current liabilities</w:t>
            </w: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831,146</w:t>
            </w:r>
          </w:p>
        </w:tc>
        <w:tc>
          <w:tcPr>
            <w:tcW w:w="2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685,382</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Debt, net of unamortized costs of $24,140 and $18,639, respectively</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3,998,908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3,706,979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Derivative instruments</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20,648</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29,235</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Income tax payable</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10,146</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10,047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Deferred taxes</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7,429</w:t>
            </w: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6,491</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Other liabilities</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28,731</w:t>
            </w:r>
          </w:p>
        </w:tc>
        <w:tc>
          <w:tcPr>
            <w:tcW w:w="28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16,524</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liabilities</w:t>
            </w:r>
          </w:p>
        </w:tc>
        <w:tc>
          <w:tcPr>
            <w:tcW w:w="12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4,897,008</w:t>
            </w:r>
          </w:p>
        </w:tc>
        <w:tc>
          <w:tcPr>
            <w:tcW w:w="280" w:type="dxa"/>
            <w:vAlign w:val="bottom"/>
            <w:shd w:val="clear" w:color="auto" w:fill="CFF0FC"/>
          </w:tcPr>
          <w:p>
            <w:pPr>
              <w:spacing w:after="0"/>
              <w:rPr>
                <w:sz w:val="18"/>
                <w:szCs w:val="18"/>
                <w:color w:val="auto"/>
              </w:rPr>
            </w:pPr>
          </w:p>
        </w:tc>
        <w:tc>
          <w:tcPr>
            <w:tcW w:w="80" w:type="dxa"/>
            <w:vAlign w:val="bottom"/>
            <w:tcBorders>
              <w:bottom w:val="single" w:sz="8" w:color="auto"/>
            </w:tcBorders>
            <w:shd w:val="clear" w:color="auto" w:fill="CFF0FC"/>
          </w:tcPr>
          <w:p>
            <w:pPr>
              <w:spacing w:after="0"/>
              <w:rPr>
                <w:sz w:val="18"/>
                <w:szCs w:val="18"/>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4,454,658</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7900" w:type="dxa"/>
            <w:vAlign w:val="bottom"/>
          </w:tcPr>
          <w:p>
            <w:pPr>
              <w:spacing w:after="0"/>
              <w:rPr>
                <w:sz w:val="20"/>
                <w:szCs w:val="20"/>
                <w:color w:val="auto"/>
              </w:rPr>
            </w:pPr>
            <w:r>
              <w:rPr>
                <w:rFonts w:ascii="Arial" w:cs="Arial" w:eastAsia="Arial" w:hAnsi="Arial"/>
                <w:sz w:val="16"/>
                <w:szCs w:val="16"/>
                <w:color w:val="auto"/>
              </w:rPr>
              <w:t>Equity:</w:t>
            </w: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Textainer Group Holdings Limited shareholders' equity:</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7900" w:type="dxa"/>
            <w:vAlign w:val="bottom"/>
          </w:tcPr>
          <w:p>
            <w:pPr>
              <w:ind w:left="260"/>
              <w:spacing w:after="0"/>
              <w:rPr>
                <w:sz w:val="20"/>
                <w:szCs w:val="20"/>
                <w:color w:val="auto"/>
              </w:rPr>
            </w:pPr>
            <w:r>
              <w:rPr>
                <w:rFonts w:ascii="Arial" w:cs="Arial" w:eastAsia="Arial" w:hAnsi="Arial"/>
                <w:sz w:val="16"/>
                <w:szCs w:val="16"/>
                <w:color w:val="auto"/>
              </w:rPr>
              <w:t>Common shares, $0.01 par value. Authorized 140,000,000 shares; 58,884,261 shares issued and</w:t>
            </w: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00" w:type="dxa"/>
            <w:vAlign w:val="bottom"/>
          </w:tcPr>
          <w:p>
            <w:pPr>
              <w:ind w:left="340"/>
              <w:spacing w:after="0"/>
              <w:rPr>
                <w:sz w:val="20"/>
                <w:szCs w:val="20"/>
                <w:color w:val="auto"/>
              </w:rPr>
            </w:pPr>
            <w:r>
              <w:rPr>
                <w:rFonts w:ascii="Arial" w:cs="Arial" w:eastAsia="Arial" w:hAnsi="Arial"/>
                <w:sz w:val="16"/>
                <w:szCs w:val="16"/>
                <w:color w:val="auto"/>
              </w:rPr>
              <w:t>50,092,911 shares outstanding at 2021; 58,740,919 shares issued and 50,495,789 shares</w:t>
            </w: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7900" w:type="dxa"/>
            <w:vAlign w:val="bottom"/>
          </w:tcPr>
          <w:p>
            <w:pPr>
              <w:ind w:left="340"/>
              <w:spacing w:after="0"/>
              <w:rPr>
                <w:sz w:val="20"/>
                <w:szCs w:val="20"/>
                <w:color w:val="auto"/>
              </w:rPr>
            </w:pPr>
            <w:r>
              <w:rPr>
                <w:rFonts w:ascii="Arial" w:cs="Arial" w:eastAsia="Arial" w:hAnsi="Arial"/>
                <w:sz w:val="16"/>
                <w:szCs w:val="16"/>
                <w:color w:val="auto"/>
              </w:rPr>
              <w:t>outstanding at 2020</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590</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587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Treasury shares, at cost, 8,791,350 and 8,245,130 shares, respectively</w:t>
            </w:r>
          </w:p>
        </w:tc>
        <w:tc>
          <w:tcPr>
            <w:tcW w:w="12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(97,017)</w:t>
            </w:r>
          </w:p>
        </w:tc>
        <w:tc>
          <w:tcPr>
            <w:tcW w:w="8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(86,239)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Additional paid-in capital</w:t>
            </w: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426,804</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416,609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Accumulated other comprehensive loss</w:t>
            </w:r>
          </w:p>
        </w:tc>
        <w:tc>
          <w:tcPr>
            <w:tcW w:w="12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(4,118)</w:t>
            </w:r>
          </w:p>
        </w:tc>
        <w:tc>
          <w:tcPr>
            <w:tcW w:w="8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(9,744)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Retained earnings</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1,000,445</w:t>
            </w:r>
          </w:p>
        </w:tc>
        <w:tc>
          <w:tcPr>
            <w:tcW w:w="28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938,395</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Textainer Group Holdings Limited shareholders’ equity</w:t>
            </w: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1,326,704</w:t>
            </w:r>
          </w:p>
        </w:tc>
        <w:tc>
          <w:tcPr>
            <w:tcW w:w="2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1,259,608</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Noncontrolling interest</w:t>
            </w: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FF0FC"/>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27,110</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equity</w:t>
            </w:r>
          </w:p>
        </w:tc>
        <w:tc>
          <w:tcPr>
            <w:tcW w:w="12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1,326,704</w:t>
            </w:r>
          </w:p>
        </w:tc>
        <w:tc>
          <w:tcPr>
            <w:tcW w:w="28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1,286,718</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7900" w:type="dxa"/>
            <w:vAlign w:val="bottom"/>
          </w:tcPr>
          <w:p>
            <w:pPr>
              <w:ind w:left="500"/>
              <w:spacing w:after="0"/>
              <w:rPr>
                <w:sz w:val="20"/>
                <w:szCs w:val="20"/>
                <w:color w:val="auto"/>
              </w:rPr>
            </w:pPr>
            <w:r>
              <w:rPr>
                <w:rFonts w:ascii="Arial" w:cs="Arial" w:eastAsia="Arial" w:hAnsi="Arial"/>
                <w:sz w:val="16"/>
                <w:szCs w:val="16"/>
                <w:color w:val="auto"/>
              </w:rPr>
              <w:t>Total liabilities and equity</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6,223,712</w:t>
            </w:r>
          </w:p>
        </w:tc>
        <w:tc>
          <w:tcPr>
            <w:tcW w:w="28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5,741,376</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9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7"/>
        </w:trPr>
        <w:tc>
          <w:tcPr>
            <w:tcW w:w="790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4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37" w:right="31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t>TEXTAINER GROUP HOLDINGS LIMITED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Consolidated Statements of Cash Flows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(All currency expressed in United States dollars in thousands)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8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80" w:type="dxa"/>
            <w:vAlign w:val="bottom"/>
            <w:gridSpan w:val="5"/>
          </w:tcPr>
          <w:p>
            <w:pPr>
              <w:jc w:val="right"/>
              <w:ind w:right="300"/>
              <w:spacing w:after="0"/>
              <w:rPr>
                <w:sz w:val="20"/>
                <w:szCs w:val="20"/>
                <w:color w:val="auto"/>
              </w:rPr>
            </w:pPr>
            <w:r>
              <w:rPr>
                <w:rFonts w:ascii="Arial" w:cs="Arial" w:eastAsia="Arial" w:hAnsi="Arial"/>
                <w:sz w:val="16"/>
                <w:szCs w:val="16"/>
                <w:b w:val="1"/>
                <w:bCs w:val="1"/>
                <w:color w:val="auto"/>
                <w:w w:val="95"/>
              </w:rPr>
              <w:t>Three Months Ended March 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8540" w:type="dxa"/>
            <w:vAlign w:val="bottom"/>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1120" w:type="dxa"/>
            <w:vAlign w:val="bottom"/>
            <w:tcBorders>
              <w:top w:val="single" w:sz="8" w:color="auto"/>
              <w:bottom w:val="single" w:sz="8" w:color="auto"/>
            </w:tcBorders>
          </w:tcPr>
          <w:p>
            <w:pPr>
              <w:jc w:val="right"/>
              <w:ind w:right="379"/>
              <w:spacing w:after="0"/>
              <w:rPr>
                <w:sz w:val="20"/>
                <w:szCs w:val="20"/>
                <w:color w:val="auto"/>
              </w:rPr>
            </w:pPr>
            <w:r>
              <w:rPr>
                <w:rFonts w:ascii="Arial" w:cs="Arial" w:eastAsia="Arial" w:hAnsi="Arial"/>
                <w:sz w:val="16"/>
                <w:szCs w:val="16"/>
                <w:b w:val="1"/>
                <w:bCs w:val="1"/>
                <w:color w:val="auto"/>
              </w:rPr>
              <w:t>2021</w:t>
            </w:r>
          </w:p>
        </w:tc>
        <w:tc>
          <w:tcPr>
            <w:tcW w:w="280" w:type="dxa"/>
            <w:vAlign w:val="bottom"/>
            <w:tcBorders>
              <w:top w:val="single" w:sz="8" w:color="auto"/>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2020</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8540" w:type="dxa"/>
            <w:vAlign w:val="bottom"/>
          </w:tcPr>
          <w:p>
            <w:pPr>
              <w:spacing w:after="0"/>
              <w:rPr>
                <w:sz w:val="20"/>
                <w:szCs w:val="20"/>
                <w:color w:val="auto"/>
              </w:rPr>
            </w:pPr>
            <w:r>
              <w:rPr>
                <w:rFonts w:ascii="Arial" w:cs="Arial" w:eastAsia="Arial" w:hAnsi="Arial"/>
                <w:sz w:val="16"/>
                <w:szCs w:val="16"/>
                <w:color w:val="auto"/>
              </w:rPr>
              <w:t>Cash flows from operating activities:</w:t>
            </w: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Net income (loss)</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62,050</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(5,108)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540" w:type="dxa"/>
            <w:vAlign w:val="bottom"/>
          </w:tcPr>
          <w:p>
            <w:pPr>
              <w:ind w:left="26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2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500"/>
              <w:spacing w:after="0"/>
              <w:rPr>
                <w:sz w:val="20"/>
                <w:szCs w:val="20"/>
                <w:color w:val="auto"/>
              </w:rPr>
            </w:pPr>
            <w:r>
              <w:rPr>
                <w:rFonts w:ascii="Arial" w:cs="Arial" w:eastAsia="Arial" w:hAnsi="Arial"/>
                <w:sz w:val="16"/>
                <w:szCs w:val="16"/>
                <w:color w:val="auto"/>
              </w:rPr>
              <w:t>Depreciation expense</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65,806</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66,834</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500"/>
              <w:spacing w:after="0"/>
              <w:rPr>
                <w:sz w:val="20"/>
                <w:szCs w:val="20"/>
                <w:color w:val="auto"/>
              </w:rPr>
            </w:pPr>
            <w:r>
              <w:rPr>
                <w:rFonts w:ascii="Arial" w:cs="Arial" w:eastAsia="Arial" w:hAnsi="Arial"/>
                <w:sz w:val="16"/>
                <w:szCs w:val="16"/>
                <w:color w:val="auto"/>
              </w:rPr>
              <w:t>Bad debt (recovery) expense, net</w:t>
            </w: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(1,127)</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2,045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500"/>
              <w:spacing w:after="0"/>
              <w:rPr>
                <w:sz w:val="20"/>
                <w:szCs w:val="20"/>
                <w:color w:val="auto"/>
              </w:rPr>
            </w:pPr>
            <w:r>
              <w:rPr>
                <w:rFonts w:ascii="Arial" w:cs="Arial" w:eastAsia="Arial" w:hAnsi="Arial"/>
                <w:sz w:val="16"/>
                <w:szCs w:val="16"/>
                <w:color w:val="auto"/>
              </w:rPr>
              <w:t>Container recovery from lessee default, net</w:t>
            </w:r>
          </w:p>
        </w:tc>
        <w:tc>
          <w:tcPr>
            <w:tcW w:w="1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(5,712)</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500"/>
              <w:spacing w:after="0"/>
              <w:rPr>
                <w:sz w:val="20"/>
                <w:szCs w:val="20"/>
                <w:color w:val="auto"/>
              </w:rPr>
            </w:pPr>
            <w:r>
              <w:rPr>
                <w:rFonts w:ascii="Arial" w:cs="Arial" w:eastAsia="Arial" w:hAnsi="Arial"/>
                <w:sz w:val="16"/>
                <w:szCs w:val="16"/>
                <w:color w:val="auto"/>
              </w:rPr>
              <w:t>Unrealized (gain) loss on derivative instruments, net</w:t>
            </w: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(3,192)</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14,937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540" w:type="dxa"/>
            <w:vAlign w:val="bottom"/>
            <w:shd w:val="clear" w:color="auto" w:fill="CFF0FC"/>
          </w:tcPr>
          <w:p>
            <w:pPr>
              <w:ind w:left="500"/>
              <w:spacing w:after="0"/>
              <w:rPr>
                <w:sz w:val="20"/>
                <w:szCs w:val="20"/>
                <w:color w:val="auto"/>
              </w:rPr>
            </w:pPr>
            <w:r>
              <w:rPr>
                <w:rFonts w:ascii="Arial" w:cs="Arial" w:eastAsia="Arial" w:hAnsi="Arial"/>
                <w:sz w:val="16"/>
                <w:szCs w:val="16"/>
                <w:color w:val="auto"/>
              </w:rPr>
              <w:t>Amortization and write-off of unamortized debt issuance costs and</w:t>
            </w:r>
          </w:p>
        </w:tc>
        <w:tc>
          <w:tcPr>
            <w:tcW w:w="12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8540" w:type="dxa"/>
            <w:vAlign w:val="bottom"/>
            <w:shd w:val="clear" w:color="auto" w:fill="CFF0FC"/>
          </w:tcPr>
          <w:p>
            <w:pPr>
              <w:ind w:left="660"/>
              <w:spacing w:after="0"/>
              <w:rPr>
                <w:sz w:val="20"/>
                <w:szCs w:val="20"/>
                <w:color w:val="auto"/>
              </w:rPr>
            </w:pPr>
            <w:r>
              <w:rPr>
                <w:rFonts w:ascii="Arial" w:cs="Arial" w:eastAsia="Arial" w:hAnsi="Arial"/>
                <w:sz w:val="16"/>
                <w:szCs w:val="16"/>
                <w:color w:val="auto"/>
              </w:rPr>
              <w:t>accretion of bond discounts</w:t>
            </w:r>
          </w:p>
        </w:tc>
        <w:tc>
          <w:tcPr>
            <w:tcW w:w="12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2,429</w:t>
            </w:r>
          </w:p>
        </w:tc>
        <w:tc>
          <w:tcPr>
            <w:tcW w:w="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2,183</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500"/>
              <w:spacing w:after="0"/>
              <w:rPr>
                <w:sz w:val="20"/>
                <w:szCs w:val="20"/>
                <w:color w:val="auto"/>
              </w:rPr>
            </w:pPr>
            <w:r>
              <w:rPr>
                <w:rFonts w:ascii="Arial" w:cs="Arial" w:eastAsia="Arial" w:hAnsi="Arial"/>
                <w:sz w:val="16"/>
                <w:szCs w:val="16"/>
                <w:color w:val="auto"/>
              </w:rPr>
              <w:t>Amortization of intangible assets</w:t>
            </w: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800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564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500"/>
              <w:spacing w:after="0"/>
              <w:rPr>
                <w:sz w:val="20"/>
                <w:szCs w:val="20"/>
                <w:color w:val="auto"/>
              </w:rPr>
            </w:pPr>
            <w:r>
              <w:rPr>
                <w:rFonts w:ascii="Arial" w:cs="Arial" w:eastAsia="Arial" w:hAnsi="Arial"/>
                <w:sz w:val="16"/>
                <w:szCs w:val="16"/>
                <w:color w:val="auto"/>
              </w:rPr>
              <w:t>Gain on sale of owned fleet containers, net</w:t>
            </w:r>
          </w:p>
        </w:tc>
        <w:tc>
          <w:tcPr>
            <w:tcW w:w="1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(12,358)</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(5,794)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500"/>
              <w:spacing w:after="0"/>
              <w:rPr>
                <w:sz w:val="20"/>
                <w:szCs w:val="20"/>
                <w:color w:val="auto"/>
              </w:rPr>
            </w:pPr>
            <w:r>
              <w:rPr>
                <w:rFonts w:ascii="Arial" w:cs="Arial" w:eastAsia="Arial" w:hAnsi="Arial"/>
                <w:sz w:val="16"/>
                <w:szCs w:val="16"/>
                <w:color w:val="auto"/>
              </w:rPr>
              <w:t>Share-based compensation expense</w:t>
            </w: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1,334</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1,071</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500"/>
              <w:spacing w:after="0"/>
              <w:rPr>
                <w:sz w:val="20"/>
                <w:szCs w:val="20"/>
                <w:color w:val="auto"/>
              </w:rPr>
            </w:pPr>
            <w:r>
              <w:rPr>
                <w:rFonts w:ascii="Arial" w:cs="Arial" w:eastAsia="Arial" w:hAnsi="Arial"/>
                <w:sz w:val="16"/>
                <w:szCs w:val="16"/>
                <w:color w:val="auto"/>
              </w:rPr>
              <w:t>Changes in operating assets and liabilities</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24,483</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(3,009)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8540" w:type="dxa"/>
            <w:vAlign w:val="bottom"/>
            <w:tcBorders>
              <w:bottom w:val="single" w:sz="8" w:color="CFF0FC"/>
            </w:tcBorders>
          </w:tcPr>
          <w:p>
            <w:pPr>
              <w:ind w:left="740"/>
              <w:spacing w:after="0"/>
              <w:rPr>
                <w:sz w:val="20"/>
                <w:szCs w:val="20"/>
                <w:color w:val="auto"/>
              </w:rPr>
            </w:pPr>
            <w:r>
              <w:rPr>
                <w:rFonts w:ascii="Arial" w:cs="Arial" w:eastAsia="Arial" w:hAnsi="Arial"/>
                <w:sz w:val="16"/>
                <w:szCs w:val="16"/>
                <w:color w:val="auto"/>
              </w:rPr>
              <w:t>Total adjustments</w:t>
            </w:r>
          </w:p>
        </w:tc>
        <w:tc>
          <w:tcPr>
            <w:tcW w:w="120" w:type="dxa"/>
            <w:vAlign w:val="bottom"/>
            <w:tcBorders>
              <w:top w:val="single" w:sz="8" w:color="auto"/>
              <w:bottom w:val="single" w:sz="8" w:color="auto"/>
            </w:tcBorders>
          </w:tcPr>
          <w:p>
            <w:pPr>
              <w:spacing w:after="0"/>
              <w:rPr>
                <w:sz w:val="17"/>
                <w:szCs w:val="17"/>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72,463</w:t>
            </w:r>
          </w:p>
        </w:tc>
        <w:tc>
          <w:tcPr>
            <w:tcW w:w="280" w:type="dxa"/>
            <w:vAlign w:val="bottom"/>
            <w:tcBorders>
              <w:bottom w:val="single" w:sz="8" w:color="CFF0FC"/>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78,830</w:t>
            </w:r>
          </w:p>
        </w:tc>
        <w:tc>
          <w:tcPr>
            <w:tcW w:w="100" w:type="dxa"/>
            <w:vAlign w:val="bottom"/>
            <w:tcBorders>
              <w:bottom w:val="single" w:sz="8" w:color="CFF0FC"/>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8540" w:type="dxa"/>
            <w:vAlign w:val="bottom"/>
            <w:shd w:val="clear" w:color="auto" w:fill="CFF0FC"/>
          </w:tcPr>
          <w:p>
            <w:pPr>
              <w:ind w:left="740"/>
              <w:spacing w:after="0"/>
              <w:rPr>
                <w:sz w:val="20"/>
                <w:szCs w:val="20"/>
                <w:color w:val="auto"/>
              </w:rPr>
            </w:pPr>
            <w:r>
              <w:rPr>
                <w:rFonts w:ascii="Arial" w:cs="Arial" w:eastAsia="Arial" w:hAnsi="Arial"/>
                <w:sz w:val="16"/>
                <w:szCs w:val="16"/>
                <w:color w:val="auto"/>
              </w:rPr>
              <w:t>Net cash provided by operating activities</w:t>
            </w:r>
          </w:p>
        </w:tc>
        <w:tc>
          <w:tcPr>
            <w:tcW w:w="120" w:type="dxa"/>
            <w:vAlign w:val="bottom"/>
            <w:tcBorders>
              <w:bottom w:val="single" w:sz="8" w:color="auto"/>
            </w:tcBorders>
            <w:shd w:val="clear" w:color="auto" w:fill="CFF0FC"/>
          </w:tcPr>
          <w:p>
            <w:pPr>
              <w:spacing w:after="0"/>
              <w:rPr>
                <w:sz w:val="18"/>
                <w:szCs w:val="18"/>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134,513</w:t>
            </w:r>
          </w:p>
        </w:tc>
        <w:tc>
          <w:tcPr>
            <w:tcW w:w="28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73,722</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8540" w:type="dxa"/>
            <w:vAlign w:val="bottom"/>
          </w:tcPr>
          <w:p>
            <w:pPr>
              <w:spacing w:after="0"/>
              <w:rPr>
                <w:sz w:val="20"/>
                <w:szCs w:val="20"/>
                <w:color w:val="auto"/>
              </w:rPr>
            </w:pPr>
            <w:r>
              <w:rPr>
                <w:rFonts w:ascii="Arial" w:cs="Arial" w:eastAsia="Arial" w:hAnsi="Arial"/>
                <w:sz w:val="16"/>
                <w:szCs w:val="16"/>
                <w:color w:val="auto"/>
              </w:rPr>
              <w:t>Cash flows from investing activities:</w:t>
            </w: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Purchase of containers and fixed assets</w:t>
            </w:r>
          </w:p>
        </w:tc>
        <w:tc>
          <w:tcPr>
            <w:tcW w:w="1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(311,995)</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(11,249)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260"/>
              <w:spacing w:after="0"/>
              <w:rPr>
                <w:sz w:val="20"/>
                <w:szCs w:val="20"/>
                <w:color w:val="auto"/>
              </w:rPr>
            </w:pPr>
            <w:r>
              <w:rPr>
                <w:rFonts w:ascii="Arial" w:cs="Arial" w:eastAsia="Arial" w:hAnsi="Arial"/>
                <w:sz w:val="16"/>
                <w:szCs w:val="16"/>
                <w:color w:val="auto"/>
              </w:rPr>
              <w:t>Payment on container leaseback financing receivable</w:t>
            </w: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(6,425)</w:t>
            </w:r>
          </w:p>
        </w:tc>
        <w:tc>
          <w:tcPr>
            <w:tcW w:w="2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Proceeds from sale of containers and fixed assets</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29,654</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30,939</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Receipt of principal payments on container leaseback financing receivable</w:t>
            </w: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8,721</w:t>
            </w:r>
          </w:p>
        </w:tc>
        <w:tc>
          <w:tcPr>
            <w:tcW w:w="28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5,099</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8540" w:type="dxa"/>
            <w:vAlign w:val="bottom"/>
            <w:shd w:val="clear" w:color="auto" w:fill="CFF0FC"/>
          </w:tcPr>
          <w:p>
            <w:pPr>
              <w:ind w:left="740"/>
              <w:spacing w:after="0"/>
              <w:rPr>
                <w:sz w:val="20"/>
                <w:szCs w:val="20"/>
                <w:color w:val="auto"/>
              </w:rPr>
            </w:pPr>
            <w:r>
              <w:rPr>
                <w:rFonts w:ascii="Arial" w:cs="Arial" w:eastAsia="Arial" w:hAnsi="Arial"/>
                <w:sz w:val="16"/>
                <w:szCs w:val="16"/>
                <w:color w:val="auto"/>
              </w:rPr>
              <w:t>Net cash (used in) provided by investing activities</w:t>
            </w:r>
          </w:p>
        </w:tc>
        <w:tc>
          <w:tcPr>
            <w:tcW w:w="120" w:type="dxa"/>
            <w:vAlign w:val="bottom"/>
            <w:shd w:val="clear" w:color="auto" w:fill="CFF0FC"/>
          </w:tcPr>
          <w:p>
            <w:pPr>
              <w:spacing w:after="0"/>
              <w:rPr>
                <w:sz w:val="18"/>
                <w:szCs w:val="18"/>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(280,045)</w:t>
            </w:r>
          </w:p>
        </w:tc>
        <w:tc>
          <w:tcPr>
            <w:tcW w:w="22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24,789</w:t>
            </w: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8540" w:type="dxa"/>
            <w:vAlign w:val="bottom"/>
          </w:tcPr>
          <w:p>
            <w:pPr>
              <w:spacing w:after="0"/>
              <w:rPr>
                <w:sz w:val="20"/>
                <w:szCs w:val="20"/>
                <w:color w:val="auto"/>
              </w:rPr>
            </w:pPr>
            <w:r>
              <w:rPr>
                <w:rFonts w:ascii="Arial" w:cs="Arial" w:eastAsia="Arial" w:hAnsi="Arial"/>
                <w:sz w:val="16"/>
                <w:szCs w:val="16"/>
                <w:color w:val="auto"/>
              </w:rPr>
              <w:t>Cash flows from financing activities:</w:t>
            </w:r>
          </w:p>
        </w:tc>
        <w:tc>
          <w:tcPr>
            <w:tcW w:w="12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Proceeds from debt</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1,153,599</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260"/>
              <w:spacing w:after="0"/>
              <w:rPr>
                <w:sz w:val="20"/>
                <w:szCs w:val="20"/>
                <w:color w:val="auto"/>
              </w:rPr>
            </w:pPr>
            <w:r>
              <w:rPr>
                <w:rFonts w:ascii="Arial" w:cs="Arial" w:eastAsia="Arial" w:hAnsi="Arial"/>
                <w:sz w:val="16"/>
                <w:szCs w:val="16"/>
                <w:color w:val="auto"/>
              </w:rPr>
              <w:t>Principal payments on debt</w:t>
            </w: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(969,991)</w:t>
            </w:r>
          </w:p>
        </w:tc>
        <w:tc>
          <w:tcPr>
            <w:tcW w:w="2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6"/>
                <w:szCs w:val="16"/>
                <w:color w:val="auto"/>
              </w:rPr>
              <w:t>(134,697)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Purchase of treasury shares</w:t>
            </w:r>
          </w:p>
        </w:tc>
        <w:tc>
          <w:tcPr>
            <w:tcW w:w="1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(10,778)</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(15,477)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260"/>
              <w:spacing w:after="0"/>
              <w:rPr>
                <w:sz w:val="20"/>
                <w:szCs w:val="20"/>
                <w:color w:val="auto"/>
              </w:rPr>
            </w:pPr>
            <w:r>
              <w:rPr>
                <w:rFonts w:ascii="Arial" w:cs="Arial" w:eastAsia="Arial" w:hAnsi="Arial"/>
                <w:sz w:val="16"/>
                <w:szCs w:val="16"/>
                <w:color w:val="auto"/>
              </w:rPr>
              <w:t>Purchase of noncontrolling interest</w:t>
            </w: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(21,500)</w:t>
            </w:r>
          </w:p>
        </w:tc>
        <w:tc>
          <w:tcPr>
            <w:tcW w:w="2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Proceeds from container leaseback financing liability, net</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6,801</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Pr>
          <w:p>
            <w:pPr>
              <w:ind w:left="260"/>
              <w:spacing w:after="0"/>
              <w:rPr>
                <w:sz w:val="20"/>
                <w:szCs w:val="20"/>
                <w:color w:val="auto"/>
              </w:rPr>
            </w:pPr>
            <w:r>
              <w:rPr>
                <w:rFonts w:ascii="Arial" w:cs="Arial" w:eastAsia="Arial" w:hAnsi="Arial"/>
                <w:sz w:val="16"/>
                <w:szCs w:val="16"/>
                <w:color w:val="auto"/>
              </w:rPr>
              <w:t>Principal repayments on container leaseback financing liability, net</w:t>
            </w: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(94)</w:t>
            </w:r>
          </w:p>
        </w:tc>
        <w:tc>
          <w:tcPr>
            <w:tcW w:w="2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6"/>
                <w:szCs w:val="16"/>
                <w:color w:val="auto"/>
              </w:rPr>
              <w:t>(124)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54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Payment of debt issuance costs</w:t>
            </w:r>
          </w:p>
        </w:tc>
        <w:tc>
          <w:tcPr>
            <w:tcW w:w="1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(6,845)</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(57)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54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Issuance of common shares upon exercise of share options</w:t>
            </w: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1,842</w:t>
            </w:r>
          </w:p>
        </w:tc>
        <w:tc>
          <w:tcPr>
            <w:tcW w:w="28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540" w:type="dxa"/>
            <w:vAlign w:val="bottom"/>
            <w:shd w:val="clear" w:color="auto" w:fill="CFF0FC"/>
          </w:tcPr>
          <w:p>
            <w:pPr>
              <w:ind w:left="740"/>
              <w:spacing w:after="0"/>
              <w:rPr>
                <w:sz w:val="20"/>
                <w:szCs w:val="20"/>
                <w:color w:val="auto"/>
              </w:rPr>
            </w:pPr>
            <w:r>
              <w:rPr>
                <w:rFonts w:ascii="Arial" w:cs="Arial" w:eastAsia="Arial" w:hAnsi="Arial"/>
                <w:sz w:val="16"/>
                <w:szCs w:val="16"/>
                <w:color w:val="auto"/>
              </w:rPr>
              <w:t>Net cash provided by (used in) financing activities</w:t>
            </w:r>
          </w:p>
        </w:tc>
        <w:tc>
          <w:tcPr>
            <w:tcW w:w="12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153,034</w:t>
            </w:r>
          </w:p>
        </w:tc>
        <w:tc>
          <w:tcPr>
            <w:tcW w:w="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(150,355)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540" w:type="dxa"/>
            <w:vAlign w:val="bottom"/>
            <w:vMerge w:val="restart"/>
          </w:tcPr>
          <w:p>
            <w:pPr>
              <w:spacing w:after="0"/>
              <w:rPr>
                <w:sz w:val="20"/>
                <w:szCs w:val="20"/>
                <w:color w:val="auto"/>
              </w:rPr>
            </w:pPr>
            <w:r>
              <w:rPr>
                <w:rFonts w:ascii="Arial" w:cs="Arial" w:eastAsia="Arial" w:hAnsi="Arial"/>
                <w:sz w:val="16"/>
                <w:szCs w:val="16"/>
                <w:color w:val="auto"/>
              </w:rPr>
              <w:t>Effect of exchange rate changes</w:t>
            </w:r>
          </w:p>
        </w:tc>
        <w:tc>
          <w:tcPr>
            <w:tcW w:w="12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7"/>
        </w:trPr>
        <w:tc>
          <w:tcPr>
            <w:tcW w:w="854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(46)</w:t>
            </w:r>
          </w:p>
        </w:tc>
        <w:tc>
          <w:tcPr>
            <w:tcW w:w="220" w:type="dxa"/>
            <w:vAlign w:val="bottom"/>
          </w:tcPr>
          <w:p>
            <w:pPr>
              <w:spacing w:after="0"/>
              <w:rPr>
                <w:sz w:val="17"/>
                <w:szCs w:val="17"/>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6"/>
                <w:szCs w:val="16"/>
                <w:color w:val="auto"/>
              </w:rPr>
              <w:t>(63)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540" w:type="dxa"/>
            <w:vAlign w:val="bottom"/>
            <w:vMerge w:val="restart"/>
            <w:shd w:val="clear" w:color="auto" w:fill="CFF0FC"/>
          </w:tcPr>
          <w:p>
            <w:pPr>
              <w:ind w:left="740"/>
              <w:spacing w:after="0"/>
              <w:rPr>
                <w:sz w:val="20"/>
                <w:szCs w:val="20"/>
                <w:color w:val="auto"/>
              </w:rPr>
            </w:pPr>
            <w:r>
              <w:rPr>
                <w:rFonts w:ascii="Arial" w:cs="Arial" w:eastAsia="Arial" w:hAnsi="Arial"/>
                <w:sz w:val="16"/>
                <w:szCs w:val="16"/>
                <w:color w:val="auto"/>
              </w:rPr>
              <w:t>Net increase (decrease) in cash, cash equivalents and restricted cash</w:t>
            </w:r>
          </w:p>
        </w:tc>
        <w:tc>
          <w:tcPr>
            <w:tcW w:w="12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8540" w:type="dxa"/>
            <w:vAlign w:val="bottom"/>
            <w:vMerge w:val="continue"/>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7,456</w:t>
            </w:r>
          </w:p>
        </w:tc>
        <w:tc>
          <w:tcPr>
            <w:tcW w:w="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(51,907)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54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Cash, cash equivalents and restricted cash, beginning of the year</w:t>
            </w: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205,165</w:t>
            </w:r>
          </w:p>
        </w:tc>
        <w:tc>
          <w:tcPr>
            <w:tcW w:w="28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277,905</w:t>
            </w:r>
          </w:p>
        </w:tc>
        <w:tc>
          <w:tcPr>
            <w:tcW w:w="100" w:type="dxa"/>
            <w:vAlign w:val="bottom"/>
            <w:tcBorders>
              <w:bottom w:val="single" w:sz="8" w:color="CFF0FC"/>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5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Cash, cash equivalents and restricted cash, end of the period</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212,621</w:t>
            </w:r>
          </w:p>
        </w:tc>
        <w:tc>
          <w:tcPr>
            <w:tcW w:w="28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225,998</w:t>
            </w:r>
          </w:p>
        </w:tc>
        <w:tc>
          <w:tcPr>
            <w:tcW w:w="100" w:type="dxa"/>
            <w:vAlign w:val="bottom"/>
            <w:tcBorders>
              <w:bottom w:val="single" w:sz="8" w:color="CFF0FC"/>
            </w:tcBorders>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1"/>
        </w:trPr>
        <w:tc>
          <w:tcPr>
            <w:tcW w:w="85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1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8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337" w:right="319" w:bottom="1440" w:gutter="0" w:footer="0" w:header="0"/>
        </w:sectPr>
      </w:pPr>
    </w:p>
    <w:bookmarkStart w:id="8" w:name="page9"/>
    <w:bookmarkEnd w:id="8"/>
    <w:p>
      <w:pPr>
        <w:jc w:val="center"/>
        <w:ind w:right="460"/>
        <w:spacing w:after="0"/>
        <w:rPr>
          <w:sz w:val="20"/>
          <w:szCs w:val="20"/>
          <w:color w:val="auto"/>
        </w:rPr>
      </w:pPr>
      <w:r>
        <w:rPr>
          <w:rFonts w:ascii="Arial" w:cs="Arial" w:eastAsia="Arial" w:hAnsi="Arial"/>
          <w:sz w:val="18"/>
          <w:szCs w:val="18"/>
          <w:b w:val="1"/>
          <w:bCs w:val="1"/>
          <w:color w:val="auto"/>
        </w:rPr>
        <w:t>Use of Non-GAAP Financial Information</w:t>
      </w:r>
    </w:p>
    <w:p>
      <w:pPr>
        <w:spacing w:after="0" w:line="229" w:lineRule="exact"/>
        <w:rPr>
          <w:sz w:val="20"/>
          <w:szCs w:val="20"/>
          <w:color w:val="auto"/>
        </w:rPr>
      </w:pPr>
    </w:p>
    <w:p>
      <w:pPr>
        <w:ind w:left="60" w:right="120"/>
        <w:spacing w:after="0" w:line="259" w:lineRule="auto"/>
        <w:rPr>
          <w:sz w:val="20"/>
          <w:szCs w:val="20"/>
          <w:color w:val="auto"/>
        </w:rPr>
      </w:pPr>
      <w:r>
        <w:rPr>
          <w:rFonts w:ascii="Arial" w:cs="Arial" w:eastAsia="Arial" w:hAnsi="Arial"/>
          <w:sz w:val="18"/>
          <w:szCs w:val="18"/>
          <w:color w:val="auto"/>
        </w:rPr>
        <w:t>To supplement Textainer’s consolidated financial statements presented in accordance with U.S. generally accepted accounting principles (“GAAP”), the company uses non-GAAP measures of certain components of financial performance. These non-GAAP measures include adjusted net income, adjusted net income per diluted common share, adjusted EBITDA, headline earnings and headline earnings per basic and diluted common share.</w:t>
      </w:r>
    </w:p>
    <w:p>
      <w:pPr>
        <w:spacing w:after="0" w:line="187" w:lineRule="exact"/>
        <w:rPr>
          <w:sz w:val="20"/>
          <w:szCs w:val="20"/>
          <w:color w:val="auto"/>
        </w:rPr>
      </w:pPr>
    </w:p>
    <w:p>
      <w:pPr>
        <w:ind w:left="60" w:right="40"/>
        <w:spacing w:after="0" w:line="255" w:lineRule="auto"/>
        <w:rPr>
          <w:sz w:val="20"/>
          <w:szCs w:val="20"/>
          <w:color w:val="auto"/>
        </w:rPr>
      </w:pPr>
      <w:r>
        <w:rPr>
          <w:rFonts w:ascii="Arial" w:cs="Arial" w:eastAsia="Arial" w:hAnsi="Arial"/>
          <w:sz w:val="18"/>
          <w:szCs w:val="18"/>
          <w:color w:val="auto"/>
        </w:rPr>
        <w:t>Management believes that adjusted net income and adjusted net income per diluted common share are useful in evaluating Textainer’s operating performance, as we intend to hold derivative instruments until maturity and any unrealized gain or loss on derivative instruments is a non-cash, non-operating item. Management considers adjusted EBITDA a widely used industry measure and useful in evaluating Textainer’s ability to fund growth and service long-term debt and other fixed obligations. Headline earnings is reported as a requirement of Textainer’s listing on the JSE. Headline earnings and headline earnings per basic and diluted common shares are calculated from net income which has been determined based on GAAP.</w:t>
      </w:r>
    </w:p>
    <w:p>
      <w:pPr>
        <w:spacing w:after="0" w:line="192" w:lineRule="exact"/>
        <w:rPr>
          <w:sz w:val="20"/>
          <w:szCs w:val="20"/>
          <w:color w:val="auto"/>
        </w:rPr>
      </w:pPr>
    </w:p>
    <w:p>
      <w:pPr>
        <w:ind w:left="60" w:right="500"/>
        <w:spacing w:after="0" w:line="277" w:lineRule="auto"/>
        <w:rPr>
          <w:sz w:val="20"/>
          <w:szCs w:val="20"/>
          <w:color w:val="auto"/>
        </w:rPr>
      </w:pPr>
      <w:r>
        <w:rPr>
          <w:rFonts w:ascii="Arial" w:cs="Arial" w:eastAsia="Arial" w:hAnsi="Arial"/>
          <w:sz w:val="18"/>
          <w:szCs w:val="18"/>
          <w:color w:val="auto"/>
        </w:rPr>
        <w:t>Reconciliations of these non-GAAP measures to the most directly comparable GAAP measures are included in the tables below for the three months ended March 31, 2021, December 31, 2020 and March 31, 2020.</w:t>
      </w:r>
    </w:p>
    <w:p>
      <w:pPr>
        <w:spacing w:after="0" w:line="170" w:lineRule="exact"/>
        <w:rPr>
          <w:sz w:val="20"/>
          <w:szCs w:val="20"/>
          <w:color w:val="auto"/>
        </w:rPr>
      </w:pPr>
    </w:p>
    <w:p>
      <w:pPr>
        <w:ind w:left="60" w:right="140"/>
        <w:spacing w:after="0" w:line="259" w:lineRule="auto"/>
        <w:rPr>
          <w:sz w:val="20"/>
          <w:szCs w:val="20"/>
          <w:color w:val="auto"/>
        </w:rPr>
      </w:pPr>
      <w:r>
        <w:rPr>
          <w:rFonts w:ascii="Arial" w:cs="Arial" w:eastAsia="Arial" w:hAnsi="Arial"/>
          <w:sz w:val="18"/>
          <w:szCs w:val="18"/>
          <w:color w:val="auto"/>
        </w:rPr>
        <w:t>Non-GAAP measures are not financial measures calculated in accordance with GAAP and are presented solely as supplemental disclosures. Non-GAAP measures have limitations as analytical tools, and should not be relied upon in isolation, or as a substitute to net income, income from operations, cash flows from operating activities, or any other performance measures derived in accordance with GAAP. Some of these limitations are:</w:t>
      </w:r>
    </w:p>
    <w:p>
      <w:pPr>
        <w:spacing w:after="0" w:line="79" w:lineRule="exact"/>
        <w:rPr>
          <w:sz w:val="20"/>
          <w:szCs w:val="20"/>
          <w:color w:val="auto"/>
        </w:rPr>
      </w:pPr>
    </w:p>
    <w:p>
      <w:pPr>
        <w:ind w:left="380" w:hanging="373"/>
        <w:spacing w:after="0"/>
        <w:tabs>
          <w:tab w:leader="none" w:pos="3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They do not reflect cash expenditures, or future requirements, for capital expenditures or contractual commitments;</w:t>
      </w:r>
    </w:p>
    <w:p>
      <w:pPr>
        <w:spacing w:after="0" w:line="117" w:lineRule="exact"/>
        <w:rPr>
          <w:rFonts w:ascii="Arial" w:cs="Arial" w:eastAsia="Arial" w:hAnsi="Arial"/>
          <w:sz w:val="18"/>
          <w:szCs w:val="18"/>
          <w:color w:val="auto"/>
        </w:rPr>
      </w:pPr>
    </w:p>
    <w:p>
      <w:pPr>
        <w:ind w:left="380" w:hanging="373"/>
        <w:spacing w:after="0"/>
        <w:tabs>
          <w:tab w:leader="none" w:pos="3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They do not reflect changes in, or cash requirements for, working capital needs;</w:t>
      </w:r>
    </w:p>
    <w:p>
      <w:pPr>
        <w:spacing w:after="0" w:line="117" w:lineRule="exact"/>
        <w:rPr>
          <w:rFonts w:ascii="Arial" w:cs="Arial" w:eastAsia="Arial" w:hAnsi="Arial"/>
          <w:sz w:val="18"/>
          <w:szCs w:val="18"/>
          <w:color w:val="auto"/>
        </w:rPr>
      </w:pPr>
    </w:p>
    <w:p>
      <w:pPr>
        <w:ind w:left="380" w:hanging="373"/>
        <w:spacing w:after="0"/>
        <w:tabs>
          <w:tab w:leader="none" w:pos="380" w:val="left"/>
        </w:tabs>
        <w:numPr>
          <w:ilvl w:val="0"/>
          <w:numId w:val="2"/>
        </w:numPr>
        <w:rPr>
          <w:rFonts w:ascii="Arial" w:cs="Arial" w:eastAsia="Arial" w:hAnsi="Arial"/>
          <w:sz w:val="17"/>
          <w:szCs w:val="17"/>
          <w:color w:val="auto"/>
        </w:rPr>
      </w:pPr>
      <w:r>
        <w:rPr>
          <w:rFonts w:ascii="Arial" w:cs="Arial" w:eastAsia="Arial" w:hAnsi="Arial"/>
          <w:sz w:val="17"/>
          <w:szCs w:val="17"/>
          <w:color w:val="auto"/>
        </w:rPr>
        <w:t>Adjusted EBITDA does not reflect interest expense or cash requirements necessary to service interest or principal payments on debt;</w:t>
      </w:r>
    </w:p>
    <w:p>
      <w:pPr>
        <w:spacing w:after="0" w:line="128" w:lineRule="exact"/>
        <w:rPr>
          <w:rFonts w:ascii="Arial" w:cs="Arial" w:eastAsia="Arial" w:hAnsi="Arial"/>
          <w:sz w:val="17"/>
          <w:szCs w:val="17"/>
          <w:color w:val="auto"/>
        </w:rPr>
      </w:pPr>
    </w:p>
    <w:p>
      <w:pPr>
        <w:ind w:left="380" w:hanging="373"/>
        <w:spacing w:after="0" w:line="263" w:lineRule="auto"/>
        <w:tabs>
          <w:tab w:leader="none" w:pos="3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Although depreciation expense and container impairment are a non-cash charge, the assets being depreciated may be replaced in the future, and neither adjusted EBITDA, adjusted net income or adjusted net income per diluted common share reflects any cash requirements for such replacements;</w:t>
      </w:r>
    </w:p>
    <w:p>
      <w:pPr>
        <w:spacing w:after="0" w:line="75" w:lineRule="exact"/>
        <w:rPr>
          <w:rFonts w:ascii="Arial" w:cs="Arial" w:eastAsia="Arial" w:hAnsi="Arial"/>
          <w:sz w:val="18"/>
          <w:szCs w:val="18"/>
          <w:color w:val="auto"/>
        </w:rPr>
      </w:pPr>
    </w:p>
    <w:p>
      <w:pPr>
        <w:ind w:left="380" w:hanging="373"/>
        <w:spacing w:after="0"/>
        <w:tabs>
          <w:tab w:leader="none" w:pos="3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They are not adjusted for all non-cash income or expense items that are reflected in our statements of cash flows; and</w:t>
      </w:r>
    </w:p>
    <w:p>
      <w:pPr>
        <w:spacing w:after="0" w:line="117" w:lineRule="exact"/>
        <w:rPr>
          <w:rFonts w:ascii="Arial" w:cs="Arial" w:eastAsia="Arial" w:hAnsi="Arial"/>
          <w:sz w:val="18"/>
          <w:szCs w:val="18"/>
          <w:color w:val="auto"/>
        </w:rPr>
      </w:pPr>
    </w:p>
    <w:p>
      <w:pPr>
        <w:ind w:left="380" w:hanging="373"/>
        <w:spacing w:after="0"/>
        <w:tabs>
          <w:tab w:leader="none" w:pos="380" w:val="left"/>
        </w:tabs>
        <w:numPr>
          <w:ilvl w:val="0"/>
          <w:numId w:val="2"/>
        </w:numPr>
        <w:rPr>
          <w:rFonts w:ascii="Arial" w:cs="Arial" w:eastAsia="Arial" w:hAnsi="Arial"/>
          <w:sz w:val="17"/>
          <w:szCs w:val="17"/>
          <w:color w:val="auto"/>
        </w:rPr>
      </w:pPr>
      <w:r>
        <w:rPr>
          <w:rFonts w:ascii="Arial" w:cs="Arial" w:eastAsia="Arial" w:hAnsi="Arial"/>
          <w:sz w:val="17"/>
          <w:szCs w:val="17"/>
          <w:color w:val="auto"/>
        </w:rPr>
        <w:t>Other companies in our industry may calculate these measures differently than we do, limiting their usefulness as comparative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-324485</wp:posOffset>
            </wp:positionH>
            <wp:positionV relativeFrom="paragraph">
              <wp:posOffset>489585</wp:posOffset>
            </wp:positionV>
            <wp:extent cx="71748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700"/>
          </w:cols>
          <w:pgMar w:left="820" w:top="337" w:right="37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13"/>
        </w:trPr>
        <w:tc>
          <w:tcPr>
            <w:tcW w:w="420" w:type="dxa"/>
            <w:vAlign w:val="bottom"/>
          </w:tcPr>
          <w:p>
            <w:pPr>
              <w:spacing w:after="0"/>
              <w:rPr>
                <w:sz w:val="18"/>
                <w:szCs w:val="18"/>
                <w:color w:val="auto"/>
              </w:rPr>
            </w:pPr>
          </w:p>
        </w:tc>
        <w:tc>
          <w:tcPr>
            <w:tcW w:w="50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gridSpan w:val="6"/>
          </w:tcPr>
          <w:p>
            <w:pPr>
              <w:jc w:val="center"/>
              <w:ind w:left="59"/>
              <w:spacing w:after="0"/>
              <w:rPr>
                <w:sz w:val="20"/>
                <w:szCs w:val="20"/>
                <w:color w:val="auto"/>
              </w:rPr>
            </w:pPr>
            <w:r>
              <w:rPr>
                <w:rFonts w:ascii="Arial" w:cs="Arial" w:eastAsia="Arial" w:hAnsi="Arial"/>
                <w:sz w:val="16"/>
                <w:szCs w:val="16"/>
                <w:b w:val="1"/>
                <w:bCs w:val="1"/>
                <w:color w:val="auto"/>
                <w:w w:val="92"/>
              </w:rPr>
              <w:t>Three Months Ended,</w:t>
            </w:r>
          </w:p>
        </w:tc>
        <w:tc>
          <w:tcPr>
            <w:tcW w:w="14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420" w:type="dxa"/>
            <w:vAlign w:val="bottom"/>
          </w:tcPr>
          <w:p>
            <w:pPr>
              <w:spacing w:after="0"/>
              <w:rPr>
                <w:sz w:val="17"/>
                <w:szCs w:val="17"/>
                <w:color w:val="auto"/>
              </w:rPr>
            </w:pPr>
          </w:p>
        </w:tc>
        <w:tc>
          <w:tcPr>
            <w:tcW w:w="50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40" w:type="dxa"/>
            <w:vAlign w:val="bottom"/>
            <w:gridSpan w:val="5"/>
          </w:tcPr>
          <w:p>
            <w:pPr>
              <w:ind w:left="100"/>
              <w:spacing w:after="0"/>
              <w:rPr>
                <w:sz w:val="20"/>
                <w:szCs w:val="20"/>
                <w:color w:val="auto"/>
              </w:rPr>
            </w:pPr>
            <w:r>
              <w:rPr>
                <w:rFonts w:ascii="Arial" w:cs="Arial" w:eastAsia="Arial" w:hAnsi="Arial"/>
                <w:sz w:val="16"/>
                <w:szCs w:val="16"/>
                <w:b w:val="1"/>
                <w:bCs w:val="1"/>
                <w:color w:val="auto"/>
              </w:rPr>
              <w:t>December 31,</w:t>
            </w: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40" w:type="dxa"/>
            <w:vAlign w:val="bottom"/>
            <w:gridSpan w:val="3"/>
          </w:tcPr>
          <w:p>
            <w:pPr>
              <w:jc w:val="right"/>
              <w:ind w:right="19"/>
              <w:spacing w:after="0"/>
              <w:rPr>
                <w:sz w:val="20"/>
                <w:szCs w:val="20"/>
                <w:color w:val="auto"/>
              </w:rPr>
            </w:pPr>
            <w:r>
              <w:rPr>
                <w:rFonts w:ascii="Arial" w:cs="Arial" w:eastAsia="Arial" w:hAnsi="Arial"/>
                <w:sz w:val="16"/>
                <w:szCs w:val="16"/>
                <w:b w:val="1"/>
                <w:bCs w:val="1"/>
                <w:color w:val="auto"/>
                <w:w w:val="98"/>
              </w:rPr>
              <w:t>March 31, 2021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jc w:val="right"/>
              <w:ind w:right="379"/>
              <w:spacing w:after="0"/>
              <w:rPr>
                <w:sz w:val="20"/>
                <w:szCs w:val="20"/>
                <w:color w:val="auto"/>
              </w:rPr>
            </w:pPr>
            <w:r>
              <w:rPr>
                <w:rFonts w:ascii="Arial" w:cs="Arial" w:eastAsia="Arial" w:hAnsi="Arial"/>
                <w:sz w:val="16"/>
                <w:szCs w:val="16"/>
                <w:b w:val="1"/>
                <w:bCs w:val="1"/>
                <w:color w:val="auto"/>
              </w:rPr>
              <w:t>2020</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5"/>
          </w:tcPr>
          <w:p>
            <w:pPr>
              <w:jc w:val="right"/>
              <w:ind w:right="320"/>
              <w:spacing w:after="0"/>
              <w:rPr>
                <w:sz w:val="20"/>
                <w:szCs w:val="20"/>
                <w:color w:val="auto"/>
              </w:rPr>
            </w:pPr>
            <w:r>
              <w:rPr>
                <w:rFonts w:ascii="Arial" w:cs="Arial" w:eastAsia="Arial" w:hAnsi="Arial"/>
                <w:sz w:val="16"/>
                <w:szCs w:val="16"/>
                <w:b w:val="1"/>
                <w:bCs w:val="1"/>
                <w:color w:val="auto"/>
                <w:w w:val="93"/>
              </w:rPr>
              <w:t>March 31, 2020</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420" w:type="dxa"/>
            <w:vAlign w:val="bottom"/>
          </w:tcPr>
          <w:p>
            <w:pPr>
              <w:spacing w:after="0"/>
              <w:rPr>
                <w:sz w:val="17"/>
                <w:szCs w:val="17"/>
                <w:color w:val="auto"/>
              </w:rPr>
            </w:pPr>
          </w:p>
        </w:tc>
        <w:tc>
          <w:tcPr>
            <w:tcW w:w="50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1720" w:type="dxa"/>
            <w:vAlign w:val="bottom"/>
            <w:tcBorders>
              <w:top w:val="single" w:sz="8" w:color="auto"/>
            </w:tcBorders>
            <w:gridSpan w:val="6"/>
          </w:tcPr>
          <w:p>
            <w:pPr>
              <w:jc w:val="center"/>
              <w:ind w:left="59"/>
              <w:spacing w:after="0"/>
              <w:rPr>
                <w:sz w:val="20"/>
                <w:szCs w:val="20"/>
                <w:color w:val="auto"/>
              </w:rPr>
            </w:pPr>
            <w:r>
              <w:rPr>
                <w:rFonts w:ascii="Arial" w:cs="Arial" w:eastAsia="Arial" w:hAnsi="Arial"/>
                <w:sz w:val="16"/>
                <w:szCs w:val="16"/>
                <w:b w:val="1"/>
                <w:bCs w:val="1"/>
                <w:color w:val="auto"/>
                <w:w w:val="91"/>
              </w:rPr>
              <w:t>(Dollars in thousands)</w:t>
            </w:r>
          </w:p>
        </w:tc>
        <w:tc>
          <w:tcPr>
            <w:tcW w:w="14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0" w:type="dxa"/>
            <w:vAlign w:val="bottom"/>
          </w:tcPr>
          <w:p>
            <w:pPr>
              <w:spacing w:after="0"/>
              <w:rPr>
                <w:sz w:val="18"/>
                <w:szCs w:val="18"/>
                <w:color w:val="auto"/>
              </w:rPr>
            </w:pPr>
          </w:p>
        </w:tc>
        <w:tc>
          <w:tcPr>
            <w:tcW w:w="50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380"/>
              <w:spacing w:after="0"/>
              <w:rPr>
                <w:sz w:val="20"/>
                <w:szCs w:val="20"/>
                <w:color w:val="auto"/>
              </w:rPr>
            </w:pPr>
            <w:r>
              <w:rPr>
                <w:rFonts w:ascii="Arial" w:cs="Arial" w:eastAsia="Arial" w:hAnsi="Arial"/>
                <w:sz w:val="16"/>
                <w:szCs w:val="16"/>
                <w:b w:val="1"/>
                <w:bCs w:val="1"/>
                <w:color w:val="auto"/>
                <w:w w:val="94"/>
              </w:rPr>
              <w:t>(Unaudited)</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Pr>
          <w:p>
            <w:pPr>
              <w:spacing w:after="0"/>
              <w:rPr>
                <w:sz w:val="19"/>
                <w:szCs w:val="19"/>
                <w:color w:val="auto"/>
              </w:rPr>
            </w:pPr>
          </w:p>
        </w:tc>
        <w:tc>
          <w:tcPr>
            <w:tcW w:w="5000" w:type="dxa"/>
            <w:vAlign w:val="bottom"/>
          </w:tcPr>
          <w:p>
            <w:pPr>
              <w:spacing w:after="0"/>
              <w:rPr>
                <w:sz w:val="20"/>
                <w:szCs w:val="20"/>
                <w:color w:val="auto"/>
              </w:rPr>
            </w:pPr>
            <w:r>
              <w:rPr>
                <w:rFonts w:ascii="Arial" w:cs="Arial" w:eastAsia="Arial" w:hAnsi="Arial"/>
                <w:sz w:val="16"/>
                <w:szCs w:val="16"/>
                <w:b w:val="1"/>
                <w:bCs w:val="1"/>
                <w:color w:val="auto"/>
              </w:rPr>
              <w:t>Reconciliation of adjusted net income:</w:t>
            </w:r>
          </w:p>
        </w:tc>
        <w:tc>
          <w:tcPr>
            <w:tcW w:w="9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420" w:type="dxa"/>
            <w:vAlign w:val="bottom"/>
          </w:tcPr>
          <w:p>
            <w:pPr>
              <w:spacing w:after="0"/>
              <w:rPr>
                <w:sz w:val="18"/>
                <w:szCs w:val="18"/>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6"/>
                <w:szCs w:val="16"/>
                <w:color w:val="auto"/>
              </w:rPr>
              <w:t>Net income (loss) attributable to Textainer Group Holdings</w:t>
            </w:r>
          </w:p>
        </w:tc>
        <w:tc>
          <w:tcPr>
            <w:tcW w:w="9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80" w:type="dxa"/>
            <w:vAlign w:val="bottom"/>
            <w:tcBorders>
              <w:right w:val="single" w:sz="8" w:color="CFF0FC"/>
            </w:tcBorders>
            <w:shd w:val="clear" w:color="auto" w:fill="CFF0FC"/>
          </w:tcPr>
          <w:p>
            <w:pPr>
              <w:spacing w:after="0"/>
              <w:rPr>
                <w:sz w:val="18"/>
                <w:szCs w:val="18"/>
                <w:color w:val="auto"/>
              </w:rPr>
            </w:pP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80" w:type="dxa"/>
            <w:vAlign w:val="bottom"/>
            <w:tcBorders>
              <w:right w:val="single" w:sz="8" w:color="CFF0FC"/>
            </w:tcBorders>
            <w:shd w:val="clear" w:color="auto" w:fill="CFF0FC"/>
          </w:tcPr>
          <w:p>
            <w:pPr>
              <w:spacing w:after="0"/>
              <w:rPr>
                <w:sz w:val="18"/>
                <w:szCs w:val="18"/>
                <w:color w:val="auto"/>
              </w:rPr>
            </w:pPr>
          </w:p>
        </w:tc>
        <w:tc>
          <w:tcPr>
            <w:tcW w:w="80" w:type="dxa"/>
            <w:vAlign w:val="bottom"/>
            <w:tcBorders>
              <w:left w:val="single" w:sz="8" w:color="CFF0FC"/>
            </w:tcBorders>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20" w:type="dxa"/>
            <w:vAlign w:val="bottom"/>
          </w:tcPr>
          <w:p>
            <w:pPr>
              <w:spacing w:after="0"/>
              <w:rPr>
                <w:sz w:val="18"/>
                <w:szCs w:val="18"/>
                <w:color w:val="auto"/>
              </w:rPr>
            </w:pPr>
          </w:p>
        </w:tc>
        <w:tc>
          <w:tcPr>
            <w:tcW w:w="5000" w:type="dxa"/>
            <w:vAlign w:val="bottom"/>
            <w:shd w:val="clear" w:color="auto" w:fill="CFF0FC"/>
          </w:tcPr>
          <w:p>
            <w:pPr>
              <w:ind w:left="120"/>
              <w:spacing w:after="0"/>
              <w:rPr>
                <w:sz w:val="20"/>
                <w:szCs w:val="20"/>
                <w:color w:val="auto"/>
              </w:rPr>
            </w:pPr>
            <w:r>
              <w:rPr>
                <w:rFonts w:ascii="Arial" w:cs="Arial" w:eastAsia="Arial" w:hAnsi="Arial"/>
                <w:sz w:val="16"/>
                <w:szCs w:val="16"/>
                <w:color w:val="auto"/>
              </w:rPr>
              <w:t>Limited common shareholders</w:t>
            </w:r>
          </w:p>
        </w:tc>
        <w:tc>
          <w:tcPr>
            <w:tcW w:w="1220" w:type="dxa"/>
            <w:vAlign w:val="bottom"/>
            <w:gridSpan w:val="2"/>
            <w:shd w:val="clear" w:color="auto" w:fill="CFF0FC"/>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62,050</w:t>
            </w: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44,260</w:t>
            </w:r>
          </w:p>
        </w:tc>
        <w:tc>
          <w:tcPr>
            <w:tcW w:w="200" w:type="dxa"/>
            <w:vAlign w:val="bottom"/>
            <w:shd w:val="clear" w:color="auto" w:fill="CFF0FC"/>
          </w:tcPr>
          <w:p>
            <w:pPr>
              <w:spacing w:after="0"/>
              <w:rPr>
                <w:sz w:val="18"/>
                <w:szCs w:val="18"/>
                <w:color w:val="auto"/>
              </w:rPr>
            </w:pP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(4,379)</w:t>
            </w:r>
          </w:p>
        </w:tc>
        <w:tc>
          <w:tcPr>
            <w:tcW w:w="80" w:type="dxa"/>
            <w:vAlign w:val="bottom"/>
            <w:tcBorders>
              <w:left w:val="single" w:sz="8" w:color="CFF0FC"/>
            </w:tcBorders>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6"/>
                <w:szCs w:val="16"/>
                <w:color w:val="auto"/>
              </w:rPr>
              <w:t>Adjustments:</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Pr>
          <w:p>
            <w:pPr>
              <w:spacing w:after="0"/>
              <w:rPr>
                <w:sz w:val="19"/>
                <w:szCs w:val="19"/>
                <w:color w:val="auto"/>
              </w:rPr>
            </w:pPr>
          </w:p>
        </w:tc>
        <w:tc>
          <w:tcPr>
            <w:tcW w:w="5000" w:type="dxa"/>
            <w:vAlign w:val="bottom"/>
            <w:shd w:val="clear" w:color="auto" w:fill="CFF0FC"/>
          </w:tcPr>
          <w:p>
            <w:pPr>
              <w:ind w:left="240"/>
              <w:spacing w:after="0"/>
              <w:rPr>
                <w:sz w:val="20"/>
                <w:szCs w:val="20"/>
                <w:color w:val="auto"/>
              </w:rPr>
            </w:pPr>
            <w:r>
              <w:rPr>
                <w:rFonts w:ascii="Arial" w:cs="Arial" w:eastAsia="Arial" w:hAnsi="Arial"/>
                <w:sz w:val="16"/>
                <w:szCs w:val="16"/>
                <w:color w:val="auto"/>
              </w:rPr>
              <w:t>Write-off of unamortized debt issuance costs</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267</w:t>
            </w:r>
          </w:p>
        </w:tc>
        <w:tc>
          <w:tcPr>
            <w:tcW w:w="280" w:type="dxa"/>
            <w:vAlign w:val="bottom"/>
            <w:tcBorders>
              <w:right w:val="single" w:sz="8" w:color="CFF0FC"/>
            </w:tcBorders>
            <w:shd w:val="clear" w:color="auto" w:fill="CFF0FC"/>
          </w:tcPr>
          <w:p>
            <w:pPr>
              <w:spacing w:after="0"/>
              <w:rPr>
                <w:sz w:val="19"/>
                <w:szCs w:val="19"/>
                <w:color w:val="auto"/>
              </w:rPr>
            </w:pP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20" w:type="dxa"/>
            <w:vAlign w:val="bottom"/>
            <w:tcBorders>
              <w:right w:val="single" w:sz="8" w:color="CFF0FC"/>
            </w:tcBorders>
            <w:gridSpan w:val="3"/>
            <w:shd w:val="clear" w:color="auto" w:fill="CFF0FC"/>
          </w:tcPr>
          <w:p>
            <w:pPr>
              <w:jc w:val="right"/>
              <w:ind w:right="2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122</w:t>
            </w:r>
          </w:p>
        </w:tc>
        <w:tc>
          <w:tcPr>
            <w:tcW w:w="80" w:type="dxa"/>
            <w:vAlign w:val="bottom"/>
            <w:tcBorders>
              <w:left w:val="single" w:sz="8" w:color="CFF0FC"/>
            </w:tcBorders>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ind w:left="240"/>
              <w:spacing w:after="0"/>
              <w:rPr>
                <w:sz w:val="20"/>
                <w:szCs w:val="20"/>
                <w:color w:val="auto"/>
              </w:rPr>
            </w:pPr>
            <w:r>
              <w:rPr>
                <w:rFonts w:ascii="Arial" w:cs="Arial" w:eastAsia="Arial" w:hAnsi="Arial"/>
                <w:sz w:val="16"/>
                <w:szCs w:val="16"/>
                <w:color w:val="auto"/>
              </w:rPr>
              <w:t>Unrealized (gain) loss on derivative instruments, net</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ind w:right="159"/>
              <w:spacing w:after="0"/>
              <w:rPr>
                <w:sz w:val="20"/>
                <w:szCs w:val="20"/>
                <w:color w:val="auto"/>
              </w:rPr>
            </w:pPr>
            <w:r>
              <w:rPr>
                <w:rFonts w:ascii="Arial" w:cs="Arial" w:eastAsia="Arial" w:hAnsi="Arial"/>
                <w:sz w:val="16"/>
                <w:szCs w:val="16"/>
                <w:color w:val="auto"/>
              </w:rPr>
              <w:t>(3,192)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59"/>
              <w:spacing w:after="0"/>
              <w:rPr>
                <w:sz w:val="20"/>
                <w:szCs w:val="20"/>
                <w:color w:val="auto"/>
              </w:rPr>
            </w:pPr>
            <w:r>
              <w:rPr>
                <w:rFonts w:ascii="Arial" w:cs="Arial" w:eastAsia="Arial" w:hAnsi="Arial"/>
                <w:sz w:val="16"/>
                <w:szCs w:val="16"/>
                <w:color w:val="auto"/>
              </w:rPr>
              <w:t>(3,390)</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14,937</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Pr>
          <w:p>
            <w:pPr>
              <w:spacing w:after="0"/>
              <w:rPr>
                <w:sz w:val="19"/>
                <w:szCs w:val="19"/>
                <w:color w:val="auto"/>
              </w:rPr>
            </w:pPr>
          </w:p>
        </w:tc>
        <w:tc>
          <w:tcPr>
            <w:tcW w:w="5000" w:type="dxa"/>
            <w:vAlign w:val="bottom"/>
            <w:shd w:val="clear" w:color="auto" w:fill="CFF0FC"/>
          </w:tcPr>
          <w:p>
            <w:pPr>
              <w:ind w:left="240"/>
              <w:spacing w:after="0"/>
              <w:rPr>
                <w:sz w:val="20"/>
                <w:szCs w:val="20"/>
                <w:color w:val="auto"/>
              </w:rPr>
            </w:pPr>
            <w:r>
              <w:rPr>
                <w:rFonts w:ascii="Arial" w:cs="Arial" w:eastAsia="Arial" w:hAnsi="Arial"/>
                <w:sz w:val="16"/>
                <w:szCs w:val="16"/>
                <w:color w:val="auto"/>
              </w:rPr>
              <w:t>Impact of reconciling items on income tax</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27</w:t>
            </w:r>
          </w:p>
        </w:tc>
        <w:tc>
          <w:tcPr>
            <w:tcW w:w="280" w:type="dxa"/>
            <w:vAlign w:val="bottom"/>
            <w:tcBorders>
              <w:right w:val="single" w:sz="8" w:color="CFF0FC"/>
            </w:tcBorders>
            <w:shd w:val="clear" w:color="auto" w:fill="CFF0FC"/>
          </w:tcPr>
          <w:p>
            <w:pPr>
              <w:spacing w:after="0"/>
              <w:rPr>
                <w:sz w:val="19"/>
                <w:szCs w:val="19"/>
                <w:color w:val="auto"/>
              </w:rPr>
            </w:pP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37</w:t>
            </w:r>
          </w:p>
        </w:tc>
        <w:tc>
          <w:tcPr>
            <w:tcW w:w="200" w:type="dxa"/>
            <w:vAlign w:val="bottom"/>
            <w:shd w:val="clear" w:color="auto" w:fill="CFF0FC"/>
          </w:tcPr>
          <w:p>
            <w:pPr>
              <w:spacing w:after="0"/>
              <w:rPr>
                <w:sz w:val="19"/>
                <w:szCs w:val="19"/>
                <w:color w:val="auto"/>
              </w:rPr>
            </w:pPr>
          </w:p>
        </w:tc>
        <w:tc>
          <w:tcPr>
            <w:tcW w:w="40" w:type="dxa"/>
            <w:vAlign w:val="bottom"/>
            <w:tcBorders>
              <w:right w:val="single" w:sz="8" w:color="CFF0FC"/>
            </w:tcBorders>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(150)</w:t>
            </w:r>
          </w:p>
        </w:tc>
        <w:tc>
          <w:tcPr>
            <w:tcW w:w="80" w:type="dxa"/>
            <w:vAlign w:val="bottom"/>
            <w:tcBorders>
              <w:left w:val="single" w:sz="8" w:color="CFF0FC"/>
            </w:tcBorders>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20" w:type="dxa"/>
            <w:vAlign w:val="bottom"/>
          </w:tcPr>
          <w:p>
            <w:pPr>
              <w:spacing w:after="0"/>
              <w:rPr>
                <w:sz w:val="17"/>
                <w:szCs w:val="17"/>
                <w:color w:val="auto"/>
              </w:rPr>
            </w:pPr>
          </w:p>
        </w:tc>
        <w:tc>
          <w:tcPr>
            <w:tcW w:w="5000" w:type="dxa"/>
            <w:vAlign w:val="bottom"/>
          </w:tcPr>
          <w:p>
            <w:pPr>
              <w:ind w:left="240"/>
              <w:spacing w:after="0"/>
              <w:rPr>
                <w:sz w:val="20"/>
                <w:szCs w:val="20"/>
                <w:color w:val="auto"/>
              </w:rPr>
            </w:pPr>
            <w:r>
              <w:rPr>
                <w:rFonts w:ascii="Arial" w:cs="Arial" w:eastAsia="Arial" w:hAnsi="Arial"/>
                <w:sz w:val="16"/>
                <w:szCs w:val="16"/>
                <w:color w:val="auto"/>
              </w:rPr>
              <w:t>Impact of reconciling items attributable to the</w:t>
            </w: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20" w:type="dxa"/>
            <w:vAlign w:val="bottom"/>
          </w:tcPr>
          <w:p>
            <w:pPr>
              <w:spacing w:after="0"/>
              <w:rPr>
                <w:sz w:val="18"/>
                <w:szCs w:val="18"/>
                <w:color w:val="auto"/>
              </w:rPr>
            </w:pPr>
          </w:p>
        </w:tc>
        <w:tc>
          <w:tcPr>
            <w:tcW w:w="5000" w:type="dxa"/>
            <w:vAlign w:val="bottom"/>
          </w:tcPr>
          <w:p>
            <w:pPr>
              <w:ind w:left="440"/>
              <w:spacing w:after="0"/>
              <w:rPr>
                <w:sz w:val="20"/>
                <w:szCs w:val="20"/>
                <w:color w:val="auto"/>
              </w:rPr>
            </w:pPr>
            <w:r>
              <w:rPr>
                <w:rFonts w:ascii="Arial" w:cs="Arial" w:eastAsia="Arial" w:hAnsi="Arial"/>
                <w:sz w:val="16"/>
                <w:szCs w:val="16"/>
                <w:color w:val="auto"/>
              </w:rPr>
              <w:t>noncontrolling interest</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240</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(828)</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5000" w:type="dxa"/>
            <w:vAlign w:val="bottom"/>
            <w:vMerge w:val="restart"/>
            <w:shd w:val="clear" w:color="auto" w:fill="CFF0FC"/>
          </w:tcPr>
          <w:p>
            <w:pPr>
              <w:spacing w:after="0"/>
              <w:rPr>
                <w:sz w:val="20"/>
                <w:szCs w:val="20"/>
                <w:color w:val="auto"/>
              </w:rPr>
            </w:pPr>
            <w:r>
              <w:rPr>
                <w:rFonts w:ascii="Arial" w:cs="Arial" w:eastAsia="Arial" w:hAnsi="Arial"/>
                <w:sz w:val="16"/>
                <w:szCs w:val="16"/>
                <w:b w:val="1"/>
                <w:bCs w:val="1"/>
                <w:color w:val="auto"/>
              </w:rPr>
              <w:t>Adjusted net income</w:t>
            </w:r>
          </w:p>
        </w:tc>
        <w:tc>
          <w:tcPr>
            <w:tcW w:w="96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tcBorders>
              <w:right w:val="single" w:sz="8" w:color="auto"/>
            </w:tcBorders>
            <w:shd w:val="clear" w:color="auto" w:fill="CFF0FC"/>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40" w:type="dxa"/>
            <w:vAlign w:val="bottom"/>
            <w:tcBorders>
              <w:right w:val="single" w:sz="8" w:color="CFF0FC"/>
            </w:tcBorders>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80" w:type="dxa"/>
            <w:vAlign w:val="bottom"/>
            <w:tcBorders>
              <w:right w:val="single" w:sz="8" w:color="CFF0FC"/>
            </w:tcBorders>
            <w:shd w:val="clear" w:color="auto" w:fill="000000"/>
          </w:tcPr>
          <w:p>
            <w:pPr>
              <w:spacing w:after="0" w:line="20" w:lineRule="exact"/>
              <w:rPr>
                <w:sz w:val="1"/>
                <w:szCs w:val="1"/>
                <w:color w:val="auto"/>
              </w:rPr>
            </w:pPr>
          </w:p>
        </w:tc>
        <w:tc>
          <w:tcPr>
            <w:tcW w:w="80" w:type="dxa"/>
            <w:vAlign w:val="bottom"/>
            <w:tcBorders>
              <w:left w:val="single" w:sz="8" w:color="CFF0F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20" w:type="dxa"/>
            <w:vAlign w:val="bottom"/>
          </w:tcPr>
          <w:p>
            <w:pPr>
              <w:spacing w:after="0"/>
              <w:rPr>
                <w:sz w:val="18"/>
                <w:szCs w:val="18"/>
                <w:color w:val="auto"/>
              </w:rPr>
            </w:pPr>
          </w:p>
        </w:tc>
        <w:tc>
          <w:tcPr>
            <w:tcW w:w="5000" w:type="dxa"/>
            <w:vAlign w:val="bottom"/>
            <w:vMerge w:val="continue"/>
            <w:shd w:val="clear" w:color="auto" w:fill="CFF0FC"/>
          </w:tcPr>
          <w:p>
            <w:pPr>
              <w:spacing w:after="0"/>
              <w:rPr>
                <w:sz w:val="18"/>
                <w:szCs w:val="18"/>
                <w:color w:val="auto"/>
              </w:rPr>
            </w:pPr>
          </w:p>
        </w:tc>
        <w:tc>
          <w:tcPr>
            <w:tcW w:w="1220" w:type="dxa"/>
            <w:vAlign w:val="bottom"/>
            <w:gridSpan w:val="2"/>
            <w:shd w:val="clear" w:color="auto" w:fill="CFF0FC"/>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59,152</w:t>
            </w: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41,147</w:t>
            </w:r>
          </w:p>
        </w:tc>
        <w:tc>
          <w:tcPr>
            <w:tcW w:w="200" w:type="dxa"/>
            <w:vAlign w:val="bottom"/>
            <w:shd w:val="clear" w:color="auto" w:fill="CFF0FC"/>
          </w:tcPr>
          <w:p>
            <w:pPr>
              <w:spacing w:after="0"/>
              <w:rPr>
                <w:sz w:val="18"/>
                <w:szCs w:val="18"/>
                <w:color w:val="auto"/>
              </w:rPr>
            </w:pP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9,702</w:t>
            </w:r>
          </w:p>
        </w:tc>
        <w:tc>
          <w:tcPr>
            <w:tcW w:w="80" w:type="dxa"/>
            <w:vAlign w:val="bottom"/>
            <w:tcBorders>
              <w:left w:val="single" w:sz="8" w:color="CFF0FC"/>
            </w:tcBorders>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500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420" w:type="dxa"/>
            <w:vAlign w:val="bottom"/>
            <w:vMerge w:val="restart"/>
          </w:tcPr>
          <w:p>
            <w:pPr>
              <w:spacing w:after="0"/>
              <w:rPr>
                <w:sz w:val="17"/>
                <w:szCs w:val="17"/>
                <w:color w:val="auto"/>
              </w:rPr>
            </w:pPr>
          </w:p>
        </w:tc>
        <w:tc>
          <w:tcPr>
            <w:tcW w:w="50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20" w:type="dxa"/>
            <w:vAlign w:val="bottom"/>
            <w:vMerge w:val="continue"/>
          </w:tcPr>
          <w:p>
            <w:pPr>
              <w:spacing w:after="0"/>
              <w:rPr>
                <w:sz w:val="18"/>
                <w:szCs w:val="18"/>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Adjusted net income per diluted common share</w:t>
            </w:r>
          </w:p>
        </w:tc>
        <w:tc>
          <w:tcPr>
            <w:tcW w:w="1220" w:type="dxa"/>
            <w:vAlign w:val="bottom"/>
            <w:gridSpan w:val="2"/>
            <w:shd w:val="clear" w:color="auto" w:fill="CFF0FC"/>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1.16</w:t>
            </w: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0.81</w:t>
            </w:r>
          </w:p>
        </w:tc>
        <w:tc>
          <w:tcPr>
            <w:tcW w:w="200" w:type="dxa"/>
            <w:vAlign w:val="bottom"/>
            <w:shd w:val="clear" w:color="auto" w:fill="CFF0FC"/>
          </w:tcPr>
          <w:p>
            <w:pPr>
              <w:spacing w:after="0"/>
              <w:rPr>
                <w:sz w:val="18"/>
                <w:szCs w:val="18"/>
                <w:color w:val="auto"/>
              </w:rPr>
            </w:pP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0.17</w:t>
            </w:r>
          </w:p>
        </w:tc>
        <w:tc>
          <w:tcPr>
            <w:tcW w:w="80" w:type="dxa"/>
            <w:vAlign w:val="bottom"/>
            <w:tcBorders>
              <w:left w:val="single" w:sz="8" w:color="CFF0FC"/>
            </w:tcBorders>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500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gridSpan w:val="2"/>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420" w:type="dxa"/>
            <w:vAlign w:val="bottom"/>
          </w:tcPr>
          <w:p>
            <w:pPr>
              <w:spacing w:after="0"/>
              <w:rPr>
                <w:sz w:val="24"/>
                <w:szCs w:val="24"/>
                <w:color w:val="auto"/>
              </w:rPr>
            </w:pPr>
          </w:p>
        </w:tc>
        <w:tc>
          <w:tcPr>
            <w:tcW w:w="50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6"/>
          </w:tcPr>
          <w:p>
            <w:pPr>
              <w:jc w:val="center"/>
              <w:spacing w:after="0"/>
              <w:rPr>
                <w:sz w:val="20"/>
                <w:szCs w:val="20"/>
                <w:color w:val="auto"/>
              </w:rPr>
            </w:pPr>
            <w:r>
              <w:rPr>
                <w:rFonts w:ascii="Arial" w:cs="Arial" w:eastAsia="Arial" w:hAnsi="Arial"/>
                <w:sz w:val="16"/>
                <w:szCs w:val="16"/>
                <w:b w:val="1"/>
                <w:bCs w:val="1"/>
                <w:color w:val="auto"/>
                <w:w w:val="92"/>
              </w:rPr>
              <w:t>Three Months Ended,</w:t>
            </w: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420" w:type="dxa"/>
            <w:vAlign w:val="bottom"/>
          </w:tcPr>
          <w:p>
            <w:pPr>
              <w:spacing w:after="0"/>
              <w:rPr>
                <w:sz w:val="17"/>
                <w:szCs w:val="17"/>
                <w:color w:val="auto"/>
              </w:rPr>
            </w:pPr>
          </w:p>
        </w:tc>
        <w:tc>
          <w:tcPr>
            <w:tcW w:w="50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gridSpan w:val="3"/>
          </w:tcPr>
          <w:p>
            <w:pPr>
              <w:ind w:left="60"/>
              <w:spacing w:after="0"/>
              <w:rPr>
                <w:sz w:val="20"/>
                <w:szCs w:val="20"/>
                <w:color w:val="auto"/>
              </w:rPr>
            </w:pPr>
            <w:r>
              <w:rPr>
                <w:rFonts w:ascii="Arial" w:cs="Arial" w:eastAsia="Arial" w:hAnsi="Arial"/>
                <w:sz w:val="16"/>
                <w:szCs w:val="16"/>
                <w:b w:val="1"/>
                <w:bCs w:val="1"/>
                <w:color w:val="auto"/>
              </w:rPr>
              <w:t>December 31,</w:t>
            </w: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Borders>
              <w:bottom w:val="single" w:sz="8" w:color="auto"/>
            </w:tcBorders>
            <w:gridSpan w:val="3"/>
          </w:tcPr>
          <w:p>
            <w:pPr>
              <w:jc w:val="right"/>
              <w:ind w:right="19"/>
              <w:spacing w:after="0"/>
              <w:rPr>
                <w:sz w:val="20"/>
                <w:szCs w:val="20"/>
                <w:color w:val="auto"/>
              </w:rPr>
            </w:pPr>
            <w:r>
              <w:rPr>
                <w:rFonts w:ascii="Arial" w:cs="Arial" w:eastAsia="Arial" w:hAnsi="Arial"/>
                <w:sz w:val="16"/>
                <w:szCs w:val="16"/>
                <w:b w:val="1"/>
                <w:bCs w:val="1"/>
                <w:color w:val="auto"/>
              </w:rPr>
              <w:t>March 31, 2021</w:t>
            </w:r>
          </w:p>
        </w:tc>
        <w:tc>
          <w:tcPr>
            <w:tcW w:w="1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2020</w:t>
            </w:r>
          </w:p>
        </w:tc>
        <w:tc>
          <w:tcPr>
            <w:tcW w:w="20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6"/>
                <w:szCs w:val="16"/>
                <w:b w:val="1"/>
                <w:bCs w:val="1"/>
                <w:color w:val="auto"/>
                <w:w w:val="93"/>
              </w:rPr>
              <w:t>March 31, 2020</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420" w:type="dxa"/>
            <w:vAlign w:val="bottom"/>
          </w:tcPr>
          <w:p>
            <w:pPr>
              <w:spacing w:after="0"/>
              <w:rPr>
                <w:sz w:val="17"/>
                <w:szCs w:val="17"/>
                <w:color w:val="auto"/>
              </w:rPr>
            </w:pPr>
          </w:p>
        </w:tc>
        <w:tc>
          <w:tcPr>
            <w:tcW w:w="50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580" w:type="dxa"/>
            <w:vAlign w:val="bottom"/>
            <w:gridSpan w:val="6"/>
          </w:tcPr>
          <w:p>
            <w:pPr>
              <w:jc w:val="center"/>
              <w:spacing w:after="0"/>
              <w:rPr>
                <w:sz w:val="20"/>
                <w:szCs w:val="20"/>
                <w:color w:val="auto"/>
              </w:rPr>
            </w:pPr>
            <w:r>
              <w:rPr>
                <w:rFonts w:ascii="Arial" w:cs="Arial" w:eastAsia="Arial" w:hAnsi="Arial"/>
                <w:sz w:val="16"/>
                <w:szCs w:val="16"/>
                <w:b w:val="1"/>
                <w:bCs w:val="1"/>
                <w:color w:val="auto"/>
                <w:w w:val="91"/>
              </w:rPr>
              <w:t>(Dollars in thousands)</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20" w:type="dxa"/>
            <w:vAlign w:val="bottom"/>
          </w:tcPr>
          <w:p>
            <w:pPr>
              <w:spacing w:after="0"/>
              <w:rPr>
                <w:sz w:val="18"/>
                <w:szCs w:val="18"/>
                <w:color w:val="auto"/>
              </w:rPr>
            </w:pPr>
          </w:p>
        </w:tc>
        <w:tc>
          <w:tcPr>
            <w:tcW w:w="50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40"/>
              <w:spacing w:after="0"/>
              <w:rPr>
                <w:sz w:val="20"/>
                <w:szCs w:val="20"/>
                <w:color w:val="auto"/>
              </w:rPr>
            </w:pPr>
            <w:r>
              <w:rPr>
                <w:rFonts w:ascii="Arial" w:cs="Arial" w:eastAsia="Arial" w:hAnsi="Arial"/>
                <w:sz w:val="16"/>
                <w:szCs w:val="16"/>
                <w:b w:val="1"/>
                <w:bCs w:val="1"/>
                <w:color w:val="auto"/>
                <w:w w:val="92"/>
              </w:rPr>
              <w:t>(Unaudited)</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5420" w:type="dxa"/>
            <w:vAlign w:val="bottom"/>
            <w:gridSpan w:val="2"/>
          </w:tcPr>
          <w:p>
            <w:pPr>
              <w:ind w:left="380"/>
              <w:spacing w:after="0"/>
              <w:rPr>
                <w:sz w:val="20"/>
                <w:szCs w:val="20"/>
                <w:color w:val="auto"/>
              </w:rPr>
            </w:pPr>
            <w:r>
              <w:rPr>
                <w:rFonts w:ascii="Arial" w:cs="Arial" w:eastAsia="Arial" w:hAnsi="Arial"/>
                <w:sz w:val="16"/>
                <w:szCs w:val="16"/>
                <w:b w:val="1"/>
                <w:bCs w:val="1"/>
                <w:color w:val="auto"/>
              </w:rPr>
              <w:t>Reconciliation of adjusted EBITDA:</w:t>
            </w:r>
          </w:p>
        </w:tc>
        <w:tc>
          <w:tcPr>
            <w:tcW w:w="9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420" w:type="dxa"/>
            <w:vAlign w:val="bottom"/>
            <w:tcBorders>
              <w:right w:val="single" w:sz="8" w:color="CFF0FC"/>
            </w:tcBorders>
          </w:tcPr>
          <w:p>
            <w:pPr>
              <w:spacing w:after="0"/>
              <w:rPr>
                <w:sz w:val="18"/>
                <w:szCs w:val="18"/>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6"/>
                <w:szCs w:val="16"/>
                <w:color w:val="auto"/>
              </w:rPr>
              <w:t>Net income (loss) attributable to Textainer Group Holdings</w:t>
            </w:r>
          </w:p>
        </w:tc>
        <w:tc>
          <w:tcPr>
            <w:tcW w:w="9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80" w:type="dxa"/>
            <w:vAlign w:val="bottom"/>
            <w:tcBorders>
              <w:right w:val="single" w:sz="8" w:color="CFF0FC"/>
            </w:tcBorders>
            <w:shd w:val="clear" w:color="auto" w:fill="CFF0FC"/>
          </w:tcPr>
          <w:p>
            <w:pPr>
              <w:spacing w:after="0"/>
              <w:rPr>
                <w:sz w:val="18"/>
                <w:szCs w:val="18"/>
                <w:color w:val="auto"/>
              </w:rPr>
            </w:pP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80" w:type="dxa"/>
            <w:vAlign w:val="bottom"/>
            <w:tcBorders>
              <w:right w:val="single" w:sz="8" w:color="CFF0FC"/>
            </w:tcBorders>
            <w:shd w:val="clear" w:color="auto" w:fill="CFF0FC"/>
          </w:tcPr>
          <w:p>
            <w:pPr>
              <w:spacing w:after="0"/>
              <w:rPr>
                <w:sz w:val="18"/>
                <w:szCs w:val="18"/>
                <w:color w:val="auto"/>
              </w:rPr>
            </w:pPr>
          </w:p>
        </w:tc>
        <w:tc>
          <w:tcPr>
            <w:tcW w:w="80" w:type="dxa"/>
            <w:vAlign w:val="bottom"/>
            <w:tcBorders>
              <w:left w:val="single" w:sz="8" w:color="CFF0FC"/>
            </w:tcBorders>
            <w:shd w:val="clear" w:color="auto" w:fill="CFF0FC"/>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20" w:type="dxa"/>
            <w:vAlign w:val="bottom"/>
            <w:tcBorders>
              <w:right w:val="single" w:sz="8" w:color="CFF0FC"/>
            </w:tcBorders>
          </w:tcPr>
          <w:p>
            <w:pPr>
              <w:spacing w:after="0"/>
              <w:rPr>
                <w:sz w:val="18"/>
                <w:szCs w:val="18"/>
                <w:color w:val="auto"/>
              </w:rPr>
            </w:pPr>
          </w:p>
        </w:tc>
        <w:tc>
          <w:tcPr>
            <w:tcW w:w="5000" w:type="dxa"/>
            <w:vAlign w:val="bottom"/>
            <w:shd w:val="clear" w:color="auto" w:fill="CFF0FC"/>
          </w:tcPr>
          <w:p>
            <w:pPr>
              <w:ind w:left="80"/>
              <w:spacing w:after="0"/>
              <w:rPr>
                <w:sz w:val="20"/>
                <w:szCs w:val="20"/>
                <w:color w:val="auto"/>
              </w:rPr>
            </w:pPr>
            <w:r>
              <w:rPr>
                <w:rFonts w:ascii="Arial" w:cs="Arial" w:eastAsia="Arial" w:hAnsi="Arial"/>
                <w:sz w:val="16"/>
                <w:szCs w:val="16"/>
                <w:color w:val="auto"/>
              </w:rPr>
              <w:t>Limited common shareholders</w:t>
            </w:r>
          </w:p>
        </w:tc>
        <w:tc>
          <w:tcPr>
            <w:tcW w:w="1520" w:type="dxa"/>
            <w:vAlign w:val="bottom"/>
            <w:gridSpan w:val="3"/>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96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62,050</w:t>
            </w:r>
          </w:p>
        </w:tc>
        <w:tc>
          <w:tcPr>
            <w:tcW w:w="220" w:type="dxa"/>
            <w:vAlign w:val="bottom"/>
            <w:tcBorders>
              <w:lef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44,260</w:t>
            </w: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40" w:type="dxa"/>
            <w:vAlign w:val="bottom"/>
            <w:gridSpan w:val="3"/>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(4,379)</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420" w:type="dxa"/>
            <w:vAlign w:val="bottom"/>
            <w:gridSpan w:val="2"/>
          </w:tcPr>
          <w:p>
            <w:pPr>
              <w:ind w:left="380"/>
              <w:spacing w:after="0"/>
              <w:rPr>
                <w:sz w:val="20"/>
                <w:szCs w:val="20"/>
                <w:color w:val="auto"/>
              </w:rPr>
            </w:pPr>
            <w:r>
              <w:rPr>
                <w:rFonts w:ascii="Arial" w:cs="Arial" w:eastAsia="Arial" w:hAnsi="Arial"/>
                <w:sz w:val="16"/>
                <w:szCs w:val="16"/>
                <w:color w:val="auto"/>
              </w:rPr>
              <w:t>Adjustments:</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Borders>
              <w:right w:val="single" w:sz="8" w:color="CFF0FC"/>
            </w:tcBorders>
          </w:tcPr>
          <w:p>
            <w:pPr>
              <w:spacing w:after="0"/>
              <w:rPr>
                <w:sz w:val="19"/>
                <w:szCs w:val="19"/>
                <w:color w:val="auto"/>
              </w:rPr>
            </w:pPr>
          </w:p>
        </w:tc>
        <w:tc>
          <w:tcPr>
            <w:tcW w:w="50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Interest income</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(37)</w:t>
            </w: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60" w:type="dxa"/>
            <w:vAlign w:val="bottom"/>
            <w:gridSpan w:val="4"/>
            <w:shd w:val="clear" w:color="auto" w:fill="CFF0FC"/>
          </w:tcPr>
          <w:p>
            <w:pPr>
              <w:jc w:val="right"/>
              <w:ind w:right="44"/>
              <w:spacing w:after="0"/>
              <w:rPr>
                <w:sz w:val="20"/>
                <w:szCs w:val="20"/>
                <w:color w:val="auto"/>
              </w:rPr>
            </w:pPr>
            <w:r>
              <w:rPr>
                <w:rFonts w:ascii="Arial" w:cs="Arial" w:eastAsia="Arial" w:hAnsi="Arial"/>
                <w:sz w:val="16"/>
                <w:szCs w:val="16"/>
                <w:color w:val="auto"/>
              </w:rPr>
              <w:t>(52)</w:t>
            </w: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(400)</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ind w:left="200"/>
              <w:spacing w:after="0"/>
              <w:rPr>
                <w:sz w:val="20"/>
                <w:szCs w:val="20"/>
                <w:color w:val="auto"/>
              </w:rPr>
            </w:pPr>
            <w:r>
              <w:rPr>
                <w:rFonts w:ascii="Arial" w:cs="Arial" w:eastAsia="Arial" w:hAnsi="Arial"/>
                <w:sz w:val="16"/>
                <w:szCs w:val="16"/>
                <w:color w:val="auto"/>
              </w:rPr>
              <w:t>Interest expense</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29,106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27,973</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36,112</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Borders>
              <w:right w:val="single" w:sz="8" w:color="CFF0FC"/>
            </w:tcBorders>
          </w:tcPr>
          <w:p>
            <w:pPr>
              <w:spacing w:after="0"/>
              <w:rPr>
                <w:sz w:val="19"/>
                <w:szCs w:val="19"/>
                <w:color w:val="auto"/>
              </w:rPr>
            </w:pPr>
          </w:p>
        </w:tc>
        <w:tc>
          <w:tcPr>
            <w:tcW w:w="50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Write-off of unamortized debt issuance costs</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89"/>
              </w:rPr>
              <w:t>267</w:t>
            </w: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40" w:type="dxa"/>
            <w:vAlign w:val="bottom"/>
            <w:tcBorders>
              <w:right w:val="single" w:sz="8" w:color="CFF0FC"/>
            </w:tcBorders>
            <w:gridSpan w:val="2"/>
            <w:shd w:val="clear" w:color="auto" w:fill="CFF0FC"/>
          </w:tcPr>
          <w:p>
            <w:pPr>
              <w:jc w:val="right"/>
              <w:ind w:right="60"/>
              <w:spacing w:after="0"/>
              <w:rPr>
                <w:sz w:val="20"/>
                <w:szCs w:val="20"/>
                <w:color w:val="auto"/>
              </w:rPr>
            </w:pPr>
            <w:r>
              <w:rPr>
                <w:rFonts w:ascii="Arial" w:cs="Arial" w:eastAsia="Arial" w:hAnsi="Arial"/>
                <w:sz w:val="16"/>
                <w:szCs w:val="16"/>
                <w:color w:val="auto"/>
                <w:w w:val="99"/>
              </w:rPr>
              <w:t>—</w:t>
            </w: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122</w:t>
            </w:r>
          </w:p>
        </w:tc>
        <w:tc>
          <w:tcPr>
            <w:tcW w:w="80" w:type="dxa"/>
            <w:vAlign w:val="bottom"/>
            <w:tcBorders>
              <w:left w:val="single" w:sz="8" w:color="CFF0FC"/>
            </w:tcBorders>
            <w:shd w:val="clear" w:color="auto" w:fill="CFF0FC"/>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ind w:left="200"/>
              <w:spacing w:after="0"/>
              <w:rPr>
                <w:sz w:val="20"/>
                <w:szCs w:val="20"/>
                <w:color w:val="auto"/>
              </w:rPr>
            </w:pPr>
            <w:r>
              <w:rPr>
                <w:rFonts w:ascii="Arial" w:cs="Arial" w:eastAsia="Arial" w:hAnsi="Arial"/>
                <w:sz w:val="16"/>
                <w:szCs w:val="16"/>
                <w:color w:val="auto"/>
              </w:rPr>
              <w:t>Realized loss on derivative instruments, net</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2,956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3,395</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1,526</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Borders>
              <w:right w:val="single" w:sz="8" w:color="CFF0FC"/>
            </w:tcBorders>
          </w:tcPr>
          <w:p>
            <w:pPr>
              <w:spacing w:after="0"/>
              <w:rPr>
                <w:sz w:val="19"/>
                <w:szCs w:val="19"/>
                <w:color w:val="auto"/>
              </w:rPr>
            </w:pPr>
          </w:p>
        </w:tc>
        <w:tc>
          <w:tcPr>
            <w:tcW w:w="50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Unrealized (gain) loss on derivative instruments, net</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(3,192)</w:t>
            </w: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60" w:type="dxa"/>
            <w:vAlign w:val="bottom"/>
            <w:gridSpan w:val="4"/>
            <w:shd w:val="clear" w:color="auto" w:fill="CFF0FC"/>
          </w:tcPr>
          <w:p>
            <w:pPr>
              <w:jc w:val="right"/>
              <w:ind w:right="44"/>
              <w:spacing w:after="0"/>
              <w:rPr>
                <w:sz w:val="20"/>
                <w:szCs w:val="20"/>
                <w:color w:val="auto"/>
              </w:rPr>
            </w:pPr>
            <w:r>
              <w:rPr>
                <w:rFonts w:ascii="Arial" w:cs="Arial" w:eastAsia="Arial" w:hAnsi="Arial"/>
                <w:sz w:val="16"/>
                <w:szCs w:val="16"/>
                <w:color w:val="auto"/>
              </w:rPr>
              <w:t>(3,390)</w:t>
            </w: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14,937</w:t>
            </w:r>
          </w:p>
        </w:tc>
        <w:tc>
          <w:tcPr>
            <w:tcW w:w="80" w:type="dxa"/>
            <w:vAlign w:val="bottom"/>
            <w:tcBorders>
              <w:left w:val="single" w:sz="8" w:color="CFF0FC"/>
            </w:tcBorders>
            <w:shd w:val="clear" w:color="auto" w:fill="CFF0FC"/>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ind w:left="200"/>
              <w:spacing w:after="0"/>
              <w:rPr>
                <w:sz w:val="20"/>
                <w:szCs w:val="20"/>
                <w:color w:val="auto"/>
              </w:rPr>
            </w:pPr>
            <w:r>
              <w:rPr>
                <w:rFonts w:ascii="Arial" w:cs="Arial" w:eastAsia="Arial" w:hAnsi="Arial"/>
                <w:sz w:val="16"/>
                <w:szCs w:val="16"/>
                <w:color w:val="auto"/>
              </w:rPr>
              <w:t>Income tax expense (benefit)</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1,066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4"/>
          </w:tcPr>
          <w:p>
            <w:pPr>
              <w:jc w:val="right"/>
              <w:ind w:right="44"/>
              <w:spacing w:after="0"/>
              <w:rPr>
                <w:sz w:val="20"/>
                <w:szCs w:val="20"/>
                <w:color w:val="auto"/>
              </w:rPr>
            </w:pPr>
            <w:r>
              <w:rPr>
                <w:rFonts w:ascii="Arial" w:cs="Arial" w:eastAsia="Arial" w:hAnsi="Arial"/>
                <w:sz w:val="16"/>
                <w:szCs w:val="16"/>
                <w:color w:val="auto"/>
              </w:rPr>
              <w:t>(463)</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(833)</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Borders>
              <w:right w:val="single" w:sz="8" w:color="CFF0FC"/>
            </w:tcBorders>
          </w:tcPr>
          <w:p>
            <w:pPr>
              <w:spacing w:after="0"/>
              <w:rPr>
                <w:sz w:val="19"/>
                <w:szCs w:val="19"/>
                <w:color w:val="auto"/>
              </w:rPr>
            </w:pPr>
          </w:p>
        </w:tc>
        <w:tc>
          <w:tcPr>
            <w:tcW w:w="50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Net income (loss) attributable to the noncontrolling interest</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778</w:t>
            </w:r>
          </w:p>
        </w:tc>
        <w:tc>
          <w:tcPr>
            <w:tcW w:w="40" w:type="dxa"/>
            <w:vAlign w:val="bottom"/>
            <w:tcBorders>
              <w:right w:val="single" w:sz="8" w:color="CFF0FC"/>
            </w:tcBorders>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(729)</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ind w:left="200"/>
              <w:spacing w:after="0"/>
              <w:rPr>
                <w:sz w:val="20"/>
                <w:szCs w:val="20"/>
                <w:color w:val="auto"/>
              </w:rPr>
            </w:pPr>
            <w:r>
              <w:rPr>
                <w:rFonts w:ascii="Arial" w:cs="Arial" w:eastAsia="Arial" w:hAnsi="Arial"/>
                <w:sz w:val="16"/>
                <w:szCs w:val="16"/>
                <w:color w:val="auto"/>
              </w:rPr>
              <w:t>Depreciation expense</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65,806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65,609</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66,834</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 w:type="dxa"/>
            <w:vAlign w:val="bottom"/>
            <w:tcBorders>
              <w:right w:val="single" w:sz="8" w:color="CFF0FC"/>
            </w:tcBorders>
          </w:tcPr>
          <w:p>
            <w:pPr>
              <w:spacing w:after="0"/>
              <w:rPr>
                <w:sz w:val="19"/>
                <w:szCs w:val="19"/>
                <w:color w:val="auto"/>
              </w:rPr>
            </w:pPr>
          </w:p>
        </w:tc>
        <w:tc>
          <w:tcPr>
            <w:tcW w:w="50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Container recovery from lessee default, net</w:t>
            </w:r>
          </w:p>
        </w:tc>
        <w:tc>
          <w:tcPr>
            <w:tcW w:w="9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6"/>
                <w:szCs w:val="16"/>
                <w:color w:val="auto"/>
              </w:rPr>
              <w:t>(5,712)</w:t>
            </w:r>
          </w:p>
        </w:tc>
        <w:tc>
          <w:tcPr>
            <w:tcW w:w="120" w:type="dxa"/>
            <w:vAlign w:val="bottom"/>
            <w:tcBorders>
              <w:left w:val="single" w:sz="8" w:color="CFF0FC"/>
            </w:tcBorders>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60" w:type="dxa"/>
            <w:vAlign w:val="bottom"/>
            <w:gridSpan w:val="4"/>
            <w:shd w:val="clear" w:color="auto" w:fill="CFF0FC"/>
          </w:tcPr>
          <w:p>
            <w:pPr>
              <w:jc w:val="right"/>
              <w:ind w:right="44"/>
              <w:spacing w:after="0"/>
              <w:rPr>
                <w:sz w:val="20"/>
                <w:szCs w:val="20"/>
                <w:color w:val="auto"/>
              </w:rPr>
            </w:pPr>
            <w:r>
              <w:rPr>
                <w:rFonts w:ascii="Arial" w:cs="Arial" w:eastAsia="Arial" w:hAnsi="Arial"/>
                <w:sz w:val="16"/>
                <w:szCs w:val="16"/>
                <w:color w:val="auto"/>
              </w:rPr>
              <w:t>(122)</w:t>
            </w:r>
          </w:p>
        </w:tc>
        <w:tc>
          <w:tcPr>
            <w:tcW w:w="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(1)</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20" w:type="dxa"/>
            <w:vAlign w:val="bottom"/>
          </w:tcPr>
          <w:p>
            <w:pPr>
              <w:spacing w:after="0"/>
              <w:rPr>
                <w:sz w:val="18"/>
                <w:szCs w:val="18"/>
                <w:color w:val="auto"/>
              </w:rPr>
            </w:pPr>
          </w:p>
        </w:tc>
        <w:tc>
          <w:tcPr>
            <w:tcW w:w="5000" w:type="dxa"/>
            <w:vAlign w:val="bottom"/>
          </w:tcPr>
          <w:p>
            <w:pPr>
              <w:ind w:left="200"/>
              <w:spacing w:after="0"/>
              <w:rPr>
                <w:sz w:val="20"/>
                <w:szCs w:val="20"/>
                <w:color w:val="auto"/>
              </w:rPr>
            </w:pPr>
            <w:r>
              <w:rPr>
                <w:rFonts w:ascii="Arial" w:cs="Arial" w:eastAsia="Arial" w:hAnsi="Arial"/>
                <w:sz w:val="16"/>
                <w:szCs w:val="16"/>
                <w:color w:val="auto"/>
              </w:rPr>
              <w:t>Amortization expense</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w w:val="89"/>
              </w:rPr>
              <w:t>800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806</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564</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20" w:type="dxa"/>
            <w:vAlign w:val="bottom"/>
            <w:tcBorders>
              <w:right w:val="single" w:sz="8" w:color="CFF0FC"/>
            </w:tcBorders>
          </w:tcPr>
          <w:p>
            <w:pPr>
              <w:spacing w:after="0"/>
              <w:rPr>
                <w:sz w:val="18"/>
                <w:szCs w:val="18"/>
                <w:color w:val="auto"/>
              </w:rPr>
            </w:pPr>
          </w:p>
        </w:tc>
        <w:tc>
          <w:tcPr>
            <w:tcW w:w="50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Impact of reconciling items attributable to the</w:t>
            </w:r>
          </w:p>
        </w:tc>
        <w:tc>
          <w:tcPr>
            <w:tcW w:w="9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80" w:type="dxa"/>
            <w:vAlign w:val="bottom"/>
            <w:tcBorders>
              <w:right w:val="single" w:sz="8" w:color="CFF0FC"/>
            </w:tcBorders>
            <w:shd w:val="clear" w:color="auto" w:fill="CFF0FC"/>
          </w:tcPr>
          <w:p>
            <w:pPr>
              <w:spacing w:after="0"/>
              <w:rPr>
                <w:sz w:val="18"/>
                <w:szCs w:val="18"/>
                <w:color w:val="auto"/>
              </w:rPr>
            </w:pP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80" w:type="dxa"/>
            <w:vAlign w:val="bottom"/>
            <w:tcBorders>
              <w:right w:val="single" w:sz="8" w:color="CFF0FC"/>
            </w:tcBorders>
            <w:shd w:val="clear" w:color="auto" w:fill="CFF0FC"/>
          </w:tcPr>
          <w:p>
            <w:pPr>
              <w:spacing w:after="0"/>
              <w:rPr>
                <w:sz w:val="18"/>
                <w:szCs w:val="18"/>
                <w:color w:val="auto"/>
              </w:rPr>
            </w:pPr>
          </w:p>
        </w:tc>
        <w:tc>
          <w:tcPr>
            <w:tcW w:w="80" w:type="dxa"/>
            <w:vAlign w:val="bottom"/>
            <w:tcBorders>
              <w:left w:val="single" w:sz="8" w:color="CFF0FC"/>
            </w:tcBorders>
            <w:shd w:val="clear" w:color="auto" w:fill="CFF0FC"/>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20" w:type="dxa"/>
            <w:vAlign w:val="bottom"/>
            <w:tcBorders>
              <w:right w:val="single" w:sz="8" w:color="CFF0FC"/>
            </w:tcBorders>
          </w:tcPr>
          <w:p>
            <w:pPr>
              <w:spacing w:after="0"/>
              <w:rPr>
                <w:sz w:val="18"/>
                <w:szCs w:val="18"/>
                <w:color w:val="auto"/>
              </w:rPr>
            </w:pPr>
          </w:p>
        </w:tc>
        <w:tc>
          <w:tcPr>
            <w:tcW w:w="5000" w:type="dxa"/>
            <w:vAlign w:val="bottom"/>
            <w:shd w:val="clear" w:color="auto" w:fill="CFF0FC"/>
          </w:tcPr>
          <w:p>
            <w:pPr>
              <w:ind w:left="400"/>
              <w:spacing w:after="0"/>
              <w:rPr>
                <w:sz w:val="20"/>
                <w:szCs w:val="20"/>
                <w:color w:val="auto"/>
              </w:rPr>
            </w:pPr>
            <w:r>
              <w:rPr>
                <w:rFonts w:ascii="Arial" w:cs="Arial" w:eastAsia="Arial" w:hAnsi="Arial"/>
                <w:sz w:val="16"/>
                <w:szCs w:val="16"/>
                <w:color w:val="auto"/>
              </w:rPr>
              <w:t>noncontrolling interest</w:t>
            </w:r>
          </w:p>
        </w:tc>
        <w:tc>
          <w:tcPr>
            <w:tcW w:w="9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2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left w:val="single" w:sz="8" w:color="CFF0FC"/>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360" w:type="dxa"/>
            <w:vAlign w:val="bottom"/>
            <w:gridSpan w:val="4"/>
            <w:shd w:val="clear" w:color="auto" w:fill="CFF0FC"/>
          </w:tcPr>
          <w:p>
            <w:pPr>
              <w:jc w:val="right"/>
              <w:ind w:right="44"/>
              <w:spacing w:after="0"/>
              <w:rPr>
                <w:sz w:val="20"/>
                <w:szCs w:val="20"/>
                <w:color w:val="auto"/>
              </w:rPr>
            </w:pPr>
            <w:r>
              <w:rPr>
                <w:rFonts w:ascii="Arial" w:cs="Arial" w:eastAsia="Arial" w:hAnsi="Arial"/>
                <w:sz w:val="16"/>
                <w:szCs w:val="16"/>
                <w:color w:val="auto"/>
              </w:rPr>
              <w:t>(1,960)</w:t>
            </w:r>
          </w:p>
        </w:tc>
        <w:tc>
          <w:tcPr>
            <w:tcW w:w="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(3,314)</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420" w:type="dxa"/>
            <w:vAlign w:val="bottom"/>
            <w:gridSpan w:val="2"/>
            <w:vMerge w:val="restart"/>
          </w:tcPr>
          <w:p>
            <w:pPr>
              <w:ind w:left="380"/>
              <w:spacing w:after="0"/>
              <w:rPr>
                <w:sz w:val="20"/>
                <w:szCs w:val="20"/>
                <w:color w:val="auto"/>
              </w:rPr>
            </w:pPr>
            <w:r>
              <w:rPr>
                <w:rFonts w:ascii="Arial" w:cs="Arial" w:eastAsia="Arial" w:hAnsi="Arial"/>
                <w:sz w:val="16"/>
                <w:szCs w:val="16"/>
                <w:b w:val="1"/>
                <w:bCs w:val="1"/>
                <w:color w:val="auto"/>
              </w:rPr>
              <w:t>Adjusted EBITDA</w:t>
            </w:r>
          </w:p>
        </w:tc>
        <w:tc>
          <w:tcPr>
            <w:tcW w:w="1220" w:type="dxa"/>
            <w:vAlign w:val="bottom"/>
            <w:gridSpan w:val="2"/>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60" w:type="dxa"/>
            <w:vAlign w:val="bottom"/>
            <w:tcBorders>
              <w:right w:val="single" w:sz="8" w:color="auto"/>
            </w:tcBorders>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gridSpan w:val="2"/>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8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7"/>
        </w:trPr>
        <w:tc>
          <w:tcPr>
            <w:tcW w:w="5420" w:type="dxa"/>
            <w:vAlign w:val="bottom"/>
            <w:gridSpan w:val="2"/>
            <w:vMerge w:val="continue"/>
          </w:tcPr>
          <w:p>
            <w:pPr>
              <w:spacing w:after="0"/>
              <w:rPr>
                <w:sz w:val="17"/>
                <w:szCs w:val="17"/>
                <w:color w:val="auto"/>
              </w:rPr>
            </w:pPr>
          </w:p>
        </w:tc>
        <w:tc>
          <w:tcPr>
            <w:tcW w:w="1220" w:type="dxa"/>
            <w:vAlign w:val="bottom"/>
            <w:gridSpan w:val="2"/>
          </w:tcPr>
          <w:p>
            <w:pPr>
              <w:spacing w:after="0"/>
              <w:rPr>
                <w:sz w:val="17"/>
                <w:szCs w:val="17"/>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153,110</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136,834</w:t>
            </w: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gridSpan w:val="3"/>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110,439</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3"/>
        </w:trPr>
        <w:tc>
          <w:tcPr>
            <w:tcW w:w="420" w:type="dxa"/>
            <w:vAlign w:val="bottom"/>
            <w:tcBorders>
              <w:bottom w:val="single" w:sz="8" w:color="9A9A9A"/>
            </w:tcBorders>
          </w:tcPr>
          <w:p>
            <w:pPr>
              <w:spacing w:after="0"/>
              <w:rPr>
                <w:sz w:val="24"/>
                <w:szCs w:val="24"/>
                <w:color w:val="auto"/>
              </w:rPr>
            </w:pPr>
          </w:p>
        </w:tc>
        <w:tc>
          <w:tcPr>
            <w:tcW w:w="5000" w:type="dxa"/>
            <w:vAlign w:val="bottom"/>
            <w:tcBorders>
              <w:bottom w:val="single" w:sz="8" w:color="9A9A9A"/>
            </w:tcBorders>
          </w:tcPr>
          <w:p>
            <w:pPr>
              <w:spacing w:after="0"/>
              <w:rPr>
                <w:sz w:val="24"/>
                <w:szCs w:val="24"/>
                <w:color w:val="auto"/>
              </w:rPr>
            </w:pPr>
          </w:p>
        </w:tc>
        <w:tc>
          <w:tcPr>
            <w:tcW w:w="96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1003" w:right="31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13"/>
        </w:trPr>
        <w:tc>
          <w:tcPr>
            <w:tcW w:w="360" w:type="dxa"/>
            <w:vAlign w:val="bottom"/>
          </w:tcPr>
          <w:p>
            <w:pPr>
              <w:spacing w:after="0"/>
              <w:rPr>
                <w:sz w:val="18"/>
                <w:szCs w:val="18"/>
                <w:color w:val="auto"/>
              </w:rPr>
            </w:pPr>
          </w:p>
        </w:tc>
        <w:tc>
          <w:tcPr>
            <w:tcW w:w="49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gridSpan w:val="4"/>
          </w:tcPr>
          <w:p>
            <w:pPr>
              <w:jc w:val="center"/>
              <w:ind w:right="80"/>
              <w:spacing w:after="0"/>
              <w:rPr>
                <w:sz w:val="20"/>
                <w:szCs w:val="20"/>
                <w:color w:val="auto"/>
              </w:rPr>
            </w:pPr>
            <w:r>
              <w:rPr>
                <w:rFonts w:ascii="Arial" w:cs="Arial" w:eastAsia="Arial" w:hAnsi="Arial"/>
                <w:sz w:val="16"/>
                <w:szCs w:val="16"/>
                <w:b w:val="1"/>
                <w:bCs w:val="1"/>
                <w:color w:val="auto"/>
                <w:w w:val="93"/>
              </w:rPr>
              <w:t>Three Months Ended,</w:t>
            </w:r>
          </w:p>
        </w:tc>
        <w:tc>
          <w:tcPr>
            <w:tcW w:w="4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60" w:type="dxa"/>
            <w:vAlign w:val="bottom"/>
          </w:tcPr>
          <w:p>
            <w:pPr>
              <w:spacing w:after="0"/>
              <w:rPr>
                <w:sz w:val="17"/>
                <w:szCs w:val="17"/>
                <w:color w:val="auto"/>
              </w:rPr>
            </w:pPr>
          </w:p>
        </w:tc>
        <w:tc>
          <w:tcPr>
            <w:tcW w:w="49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0" w:type="dxa"/>
            <w:vAlign w:val="bottom"/>
            <w:gridSpan w:val="2"/>
          </w:tcPr>
          <w:p>
            <w:pPr>
              <w:jc w:val="center"/>
              <w:ind w:right="400"/>
              <w:spacing w:after="0"/>
              <w:rPr>
                <w:sz w:val="20"/>
                <w:szCs w:val="20"/>
                <w:color w:val="auto"/>
              </w:rPr>
            </w:pPr>
            <w:r>
              <w:rPr>
                <w:rFonts w:ascii="Arial" w:cs="Arial" w:eastAsia="Arial" w:hAnsi="Arial"/>
                <w:sz w:val="16"/>
                <w:szCs w:val="16"/>
                <w:b w:val="1"/>
                <w:bCs w:val="1"/>
                <w:color w:val="auto"/>
                <w:w w:val="92"/>
              </w:rPr>
              <w:t>December 31,</w:t>
            </w:r>
          </w:p>
        </w:tc>
        <w:tc>
          <w:tcPr>
            <w:tcW w:w="4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60" w:type="dxa"/>
            <w:vAlign w:val="bottom"/>
          </w:tcPr>
          <w:p>
            <w:pPr>
              <w:spacing w:after="0"/>
              <w:rPr>
                <w:sz w:val="18"/>
                <w:szCs w:val="18"/>
                <w:color w:val="auto"/>
              </w:rPr>
            </w:pPr>
          </w:p>
        </w:tc>
        <w:tc>
          <w:tcPr>
            <w:tcW w:w="49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320" w:type="dxa"/>
            <w:vAlign w:val="bottom"/>
            <w:gridSpan w:val="3"/>
          </w:tcPr>
          <w:p>
            <w:pPr>
              <w:jc w:val="right"/>
              <w:ind w:right="180"/>
              <w:spacing w:after="0"/>
              <w:rPr>
                <w:sz w:val="20"/>
                <w:szCs w:val="20"/>
                <w:color w:val="auto"/>
              </w:rPr>
            </w:pPr>
            <w:r>
              <w:rPr>
                <w:rFonts w:ascii="Arial" w:cs="Arial" w:eastAsia="Arial" w:hAnsi="Arial"/>
                <w:sz w:val="16"/>
                <w:szCs w:val="16"/>
                <w:b w:val="1"/>
                <w:bCs w:val="1"/>
                <w:color w:val="auto"/>
                <w:w w:val="98"/>
              </w:rPr>
              <w:t>March 31, 2021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center"/>
              <w:ind w:right="59"/>
              <w:spacing w:after="0"/>
              <w:rPr>
                <w:sz w:val="20"/>
                <w:szCs w:val="20"/>
                <w:color w:val="auto"/>
              </w:rPr>
            </w:pPr>
            <w:r>
              <w:rPr>
                <w:rFonts w:ascii="Arial" w:cs="Arial" w:eastAsia="Arial" w:hAnsi="Arial"/>
                <w:sz w:val="16"/>
                <w:szCs w:val="16"/>
                <w:b w:val="1"/>
                <w:bCs w:val="1"/>
                <w:color w:val="auto"/>
                <w:w w:val="89"/>
              </w:rPr>
              <w:t>2020</w:t>
            </w:r>
          </w:p>
        </w:tc>
        <w:tc>
          <w:tcPr>
            <w:tcW w:w="260" w:type="dxa"/>
            <w:vAlign w:val="bottom"/>
          </w:tcPr>
          <w:p>
            <w:pPr>
              <w:spacing w:after="0"/>
              <w:rPr>
                <w:sz w:val="18"/>
                <w:szCs w:val="18"/>
                <w:color w:val="auto"/>
              </w:rPr>
            </w:pPr>
          </w:p>
        </w:tc>
        <w:tc>
          <w:tcPr>
            <w:tcW w:w="1300" w:type="dxa"/>
            <w:vAlign w:val="bottom"/>
            <w:gridSpan w:val="3"/>
          </w:tcPr>
          <w:p>
            <w:pPr>
              <w:jc w:val="right"/>
              <w:ind w:right="160"/>
              <w:spacing w:after="0"/>
              <w:rPr>
                <w:sz w:val="20"/>
                <w:szCs w:val="20"/>
                <w:color w:val="auto"/>
              </w:rPr>
            </w:pPr>
            <w:r>
              <w:rPr>
                <w:rFonts w:ascii="Arial" w:cs="Arial" w:eastAsia="Arial" w:hAnsi="Arial"/>
                <w:sz w:val="16"/>
                <w:szCs w:val="16"/>
                <w:b w:val="1"/>
                <w:bCs w:val="1"/>
                <w:color w:val="auto"/>
                <w:w w:val="98"/>
              </w:rPr>
              <w:t>March 31, 2020</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360" w:type="dxa"/>
            <w:vAlign w:val="bottom"/>
          </w:tcPr>
          <w:p>
            <w:pPr>
              <w:spacing w:after="0"/>
              <w:rPr>
                <w:sz w:val="17"/>
                <w:szCs w:val="17"/>
                <w:color w:val="auto"/>
              </w:rPr>
            </w:pPr>
          </w:p>
        </w:tc>
        <w:tc>
          <w:tcPr>
            <w:tcW w:w="49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680" w:type="dxa"/>
            <w:vAlign w:val="bottom"/>
            <w:tcBorders>
              <w:top w:val="single" w:sz="8" w:color="auto"/>
            </w:tcBorders>
            <w:gridSpan w:val="4"/>
          </w:tcPr>
          <w:p>
            <w:pPr>
              <w:jc w:val="center"/>
              <w:ind w:right="100"/>
              <w:spacing w:after="0"/>
              <w:rPr>
                <w:sz w:val="20"/>
                <w:szCs w:val="20"/>
                <w:color w:val="auto"/>
              </w:rPr>
            </w:pPr>
            <w:r>
              <w:rPr>
                <w:rFonts w:ascii="Arial" w:cs="Arial" w:eastAsia="Arial" w:hAnsi="Arial"/>
                <w:sz w:val="16"/>
                <w:szCs w:val="16"/>
                <w:b w:val="1"/>
                <w:bCs w:val="1"/>
                <w:color w:val="auto"/>
                <w:w w:val="91"/>
              </w:rPr>
              <w:t>(Dollars in thousands)</w:t>
            </w:r>
          </w:p>
        </w:tc>
        <w:tc>
          <w:tcPr>
            <w:tcW w:w="44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49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6"/>
                <w:szCs w:val="16"/>
                <w:b w:val="1"/>
                <w:bCs w:val="1"/>
                <w:color w:val="auto"/>
                <w:w w:val="94"/>
              </w:rPr>
              <w:t>(Unaudited)</w:t>
            </w: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60" w:type="dxa"/>
            <w:vAlign w:val="bottom"/>
          </w:tcPr>
          <w:p>
            <w:pPr>
              <w:spacing w:after="0"/>
              <w:rPr>
                <w:sz w:val="19"/>
                <w:szCs w:val="19"/>
                <w:color w:val="auto"/>
              </w:rPr>
            </w:pPr>
          </w:p>
        </w:tc>
        <w:tc>
          <w:tcPr>
            <w:tcW w:w="4980" w:type="dxa"/>
            <w:vAlign w:val="bottom"/>
          </w:tcPr>
          <w:p>
            <w:pPr>
              <w:spacing w:after="0"/>
              <w:rPr>
                <w:sz w:val="20"/>
                <w:szCs w:val="20"/>
                <w:color w:val="auto"/>
              </w:rPr>
            </w:pPr>
            <w:r>
              <w:rPr>
                <w:rFonts w:ascii="Arial" w:cs="Arial" w:eastAsia="Arial" w:hAnsi="Arial"/>
                <w:sz w:val="16"/>
                <w:szCs w:val="16"/>
                <w:b w:val="1"/>
                <w:bCs w:val="1"/>
                <w:color w:val="auto"/>
              </w:rPr>
              <w:t>Reconciliation of headline earnings:</w:t>
            </w:r>
          </w:p>
        </w:tc>
        <w:tc>
          <w:tcPr>
            <w:tcW w:w="1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360" w:type="dxa"/>
            <w:vAlign w:val="bottom"/>
          </w:tcPr>
          <w:p>
            <w:pPr>
              <w:spacing w:after="0"/>
              <w:rPr>
                <w:sz w:val="18"/>
                <w:szCs w:val="18"/>
                <w:color w:val="auto"/>
              </w:rPr>
            </w:pPr>
          </w:p>
        </w:tc>
        <w:tc>
          <w:tcPr>
            <w:tcW w:w="4980" w:type="dxa"/>
            <w:vAlign w:val="bottom"/>
            <w:shd w:val="clear" w:color="auto" w:fill="CFF0FC"/>
          </w:tcPr>
          <w:p>
            <w:pPr>
              <w:spacing w:after="0"/>
              <w:rPr>
                <w:sz w:val="20"/>
                <w:szCs w:val="20"/>
                <w:color w:val="auto"/>
              </w:rPr>
            </w:pPr>
            <w:r>
              <w:rPr>
                <w:rFonts w:ascii="Arial" w:cs="Arial" w:eastAsia="Arial" w:hAnsi="Arial"/>
                <w:sz w:val="16"/>
                <w:szCs w:val="16"/>
                <w:color w:val="auto"/>
              </w:rPr>
              <w:t>Net income (loss) attributable to Textainer Group Holdings</w:t>
            </w:r>
          </w:p>
        </w:tc>
        <w:tc>
          <w:tcPr>
            <w:tcW w:w="114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60" w:type="dxa"/>
            <w:vAlign w:val="bottom"/>
          </w:tcPr>
          <w:p>
            <w:pPr>
              <w:spacing w:after="0"/>
              <w:rPr>
                <w:sz w:val="18"/>
                <w:szCs w:val="18"/>
                <w:color w:val="auto"/>
              </w:rPr>
            </w:pPr>
          </w:p>
        </w:tc>
        <w:tc>
          <w:tcPr>
            <w:tcW w:w="4980" w:type="dxa"/>
            <w:vAlign w:val="bottom"/>
            <w:shd w:val="clear" w:color="auto" w:fill="CFF0FC"/>
          </w:tcPr>
          <w:p>
            <w:pPr>
              <w:ind w:left="120"/>
              <w:spacing w:after="0"/>
              <w:rPr>
                <w:sz w:val="20"/>
                <w:szCs w:val="20"/>
                <w:color w:val="auto"/>
              </w:rPr>
            </w:pPr>
            <w:r>
              <w:rPr>
                <w:rFonts w:ascii="Arial" w:cs="Arial" w:eastAsia="Arial" w:hAnsi="Arial"/>
                <w:sz w:val="16"/>
                <w:szCs w:val="16"/>
                <w:color w:val="auto"/>
              </w:rPr>
              <w:t>Limited common shareholders</w:t>
            </w:r>
          </w:p>
        </w:tc>
        <w:tc>
          <w:tcPr>
            <w:tcW w:w="1560" w:type="dxa"/>
            <w:vAlign w:val="bottom"/>
            <w:gridSpan w:val="2"/>
            <w:shd w:val="clear" w:color="auto" w:fill="CFF0FC"/>
          </w:tcPr>
          <w:p>
            <w:pPr>
              <w:jc w:val="right"/>
              <w:ind w:right="259"/>
              <w:spacing w:after="0"/>
              <w:rPr>
                <w:sz w:val="20"/>
                <w:szCs w:val="20"/>
                <w:color w:val="auto"/>
              </w:rPr>
            </w:pPr>
            <w:r>
              <w:rPr>
                <w:rFonts w:ascii="Arial" w:cs="Arial" w:eastAsia="Arial" w:hAnsi="Arial"/>
                <w:sz w:val="16"/>
                <w:szCs w:val="16"/>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62,050</w:t>
            </w:r>
          </w:p>
        </w:tc>
        <w:tc>
          <w:tcPr>
            <w:tcW w:w="80" w:type="dxa"/>
            <w:vAlign w:val="bottom"/>
            <w:shd w:val="clear" w:color="auto" w:fill="CFF0FC"/>
          </w:tcPr>
          <w:p>
            <w:pPr>
              <w:spacing w:after="0"/>
              <w:rPr>
                <w:sz w:val="18"/>
                <w:szCs w:val="18"/>
                <w:color w:val="auto"/>
              </w:rPr>
            </w:pPr>
          </w:p>
        </w:tc>
        <w:tc>
          <w:tcPr>
            <w:tcW w:w="28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44,260</w:t>
            </w:r>
          </w:p>
        </w:tc>
        <w:tc>
          <w:tcPr>
            <w:tcW w:w="26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283"/>
              <w:spacing w:after="0"/>
              <w:rPr>
                <w:sz w:val="20"/>
                <w:szCs w:val="20"/>
                <w:color w:val="auto"/>
              </w:rPr>
            </w:pPr>
            <w:r>
              <w:rPr>
                <w:rFonts w:ascii="Arial" w:cs="Arial" w:eastAsia="Arial" w:hAnsi="Arial"/>
                <w:sz w:val="15"/>
                <w:szCs w:val="15"/>
                <w:color w:val="auto"/>
                <w:w w:val="71"/>
              </w:rPr>
              <w:t>$</w:t>
            </w:r>
          </w:p>
        </w:tc>
        <w:tc>
          <w:tcPr>
            <w:tcW w:w="86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(4,379)</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6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Arial" w:cs="Arial" w:eastAsia="Arial" w:hAnsi="Arial"/>
                <w:sz w:val="16"/>
                <w:szCs w:val="16"/>
                <w:color w:val="auto"/>
              </w:rPr>
              <w:t>Adjustments:</w:t>
            </w: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60" w:type="dxa"/>
            <w:vAlign w:val="bottom"/>
          </w:tcPr>
          <w:p>
            <w:pPr>
              <w:spacing w:after="0"/>
              <w:rPr>
                <w:sz w:val="19"/>
                <w:szCs w:val="19"/>
                <w:color w:val="auto"/>
              </w:rPr>
            </w:pPr>
          </w:p>
        </w:tc>
        <w:tc>
          <w:tcPr>
            <w:tcW w:w="49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Container (recovery) impairment</w:t>
            </w:r>
          </w:p>
        </w:tc>
        <w:tc>
          <w:tcPr>
            <w:tcW w:w="11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(6,551)</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590</w:t>
            </w: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4,586</w:t>
            </w:r>
          </w:p>
        </w:tc>
        <w:tc>
          <w:tcPr>
            <w:tcW w:w="100" w:type="dxa"/>
            <w:vAlign w:val="bottom"/>
            <w:tcBorders>
              <w:right w:val="single" w:sz="8" w:color="CFF0FC"/>
            </w:tcBorders>
            <w:shd w:val="clear" w:color="auto" w:fill="CFF0FC"/>
          </w:tcPr>
          <w:p>
            <w:pPr>
              <w:spacing w:after="0"/>
              <w:rPr>
                <w:sz w:val="19"/>
                <w:szCs w:val="19"/>
                <w:color w:val="auto"/>
              </w:rPr>
            </w:pP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60" w:type="dxa"/>
            <w:vAlign w:val="bottom"/>
          </w:tcPr>
          <w:p>
            <w:pPr>
              <w:spacing w:after="0"/>
              <w:rPr>
                <w:sz w:val="18"/>
                <w:szCs w:val="18"/>
                <w:color w:val="auto"/>
              </w:rPr>
            </w:pPr>
          </w:p>
        </w:tc>
        <w:tc>
          <w:tcPr>
            <w:tcW w:w="4980" w:type="dxa"/>
            <w:vAlign w:val="bottom"/>
          </w:tcPr>
          <w:p>
            <w:pPr>
              <w:ind w:left="240"/>
              <w:spacing w:after="0"/>
              <w:rPr>
                <w:sz w:val="20"/>
                <w:szCs w:val="20"/>
                <w:color w:val="auto"/>
              </w:rPr>
            </w:pPr>
            <w:r>
              <w:rPr>
                <w:rFonts w:ascii="Arial" w:cs="Arial" w:eastAsia="Arial" w:hAnsi="Arial"/>
                <w:sz w:val="16"/>
                <w:szCs w:val="16"/>
                <w:color w:val="auto"/>
              </w:rPr>
              <w:t>Impact of reconciling items on income tax</w:t>
            </w: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6"/>
                <w:szCs w:val="16"/>
                <w:color w:val="auto"/>
              </w:rPr>
              <w:t>(4)</w:t>
            </w:r>
          </w:p>
        </w:tc>
        <w:tc>
          <w:tcPr>
            <w:tcW w:w="440" w:type="dxa"/>
            <w:vAlign w:val="bottom"/>
          </w:tcPr>
          <w:p>
            <w:pPr>
              <w:spacing w:after="0"/>
              <w:rPr>
                <w:sz w:val="18"/>
                <w:szCs w:val="18"/>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6"/>
                <w:szCs w:val="16"/>
                <w:color w:val="auto"/>
              </w:rPr>
              <w:t>(46)</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60" w:type="dxa"/>
            <w:vAlign w:val="bottom"/>
          </w:tcPr>
          <w:p>
            <w:pPr>
              <w:spacing w:after="0"/>
              <w:rPr>
                <w:sz w:val="18"/>
                <w:szCs w:val="18"/>
                <w:color w:val="auto"/>
              </w:rPr>
            </w:pPr>
          </w:p>
        </w:tc>
        <w:tc>
          <w:tcPr>
            <w:tcW w:w="49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Impact of reconciling items attributable to the</w:t>
            </w:r>
          </w:p>
        </w:tc>
        <w:tc>
          <w:tcPr>
            <w:tcW w:w="114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60" w:type="dxa"/>
            <w:vAlign w:val="bottom"/>
          </w:tcPr>
          <w:p>
            <w:pPr>
              <w:spacing w:after="0"/>
              <w:rPr>
                <w:sz w:val="18"/>
                <w:szCs w:val="18"/>
                <w:color w:val="auto"/>
              </w:rPr>
            </w:pPr>
          </w:p>
        </w:tc>
        <w:tc>
          <w:tcPr>
            <w:tcW w:w="4980" w:type="dxa"/>
            <w:vAlign w:val="bottom"/>
            <w:shd w:val="clear" w:color="auto" w:fill="CFF0FC"/>
          </w:tcPr>
          <w:p>
            <w:pPr>
              <w:ind w:left="440"/>
              <w:spacing w:after="0"/>
              <w:rPr>
                <w:sz w:val="20"/>
                <w:szCs w:val="20"/>
                <w:color w:val="auto"/>
              </w:rPr>
            </w:pPr>
            <w:r>
              <w:rPr>
                <w:rFonts w:ascii="Arial" w:cs="Arial" w:eastAsia="Arial" w:hAnsi="Arial"/>
                <w:sz w:val="16"/>
                <w:szCs w:val="16"/>
                <w:color w:val="auto"/>
              </w:rPr>
              <w:t>noncontrolling interest</w:t>
            </w:r>
          </w:p>
        </w:tc>
        <w:tc>
          <w:tcPr>
            <w:tcW w:w="114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40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(5)</w:t>
            </w:r>
          </w:p>
        </w:tc>
        <w:tc>
          <w:tcPr>
            <w:tcW w:w="440" w:type="dxa"/>
            <w:vAlign w:val="bottom"/>
            <w:shd w:val="clear" w:color="auto" w:fill="CFF0FC"/>
          </w:tcPr>
          <w:p>
            <w:pPr>
              <w:spacing w:after="0"/>
              <w:rPr>
                <w:sz w:val="18"/>
                <w:szCs w:val="18"/>
                <w:color w:val="auto"/>
              </w:rPr>
            </w:pPr>
          </w:p>
        </w:tc>
        <w:tc>
          <w:tcPr>
            <w:tcW w:w="86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(115)</w:t>
            </w:r>
          </w:p>
        </w:tc>
        <w:tc>
          <w:tcPr>
            <w:tcW w:w="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4980" w:type="dxa"/>
            <w:vAlign w:val="bottom"/>
            <w:vMerge w:val="restart"/>
          </w:tcPr>
          <w:p>
            <w:pPr>
              <w:spacing w:after="0"/>
              <w:rPr>
                <w:sz w:val="20"/>
                <w:szCs w:val="20"/>
                <w:color w:val="auto"/>
              </w:rPr>
            </w:pPr>
            <w:r>
              <w:rPr>
                <w:rFonts w:ascii="Arial" w:cs="Arial" w:eastAsia="Arial" w:hAnsi="Arial"/>
                <w:sz w:val="16"/>
                <w:szCs w:val="16"/>
                <w:b w:val="1"/>
                <w:bCs w:val="1"/>
                <w:color w:val="auto"/>
              </w:rPr>
              <w:t>Headline earnings</w:t>
            </w:r>
          </w:p>
        </w:tc>
        <w:tc>
          <w:tcPr>
            <w:tcW w:w="11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60" w:type="dxa"/>
            <w:vAlign w:val="bottom"/>
          </w:tcPr>
          <w:p>
            <w:pPr>
              <w:spacing w:after="0"/>
              <w:rPr>
                <w:sz w:val="17"/>
                <w:szCs w:val="17"/>
                <w:color w:val="auto"/>
              </w:rPr>
            </w:pPr>
          </w:p>
        </w:tc>
        <w:tc>
          <w:tcPr>
            <w:tcW w:w="4980" w:type="dxa"/>
            <w:vAlign w:val="bottom"/>
            <w:vMerge w:val="continue"/>
          </w:tcPr>
          <w:p>
            <w:pPr>
              <w:spacing w:after="0"/>
              <w:rPr>
                <w:sz w:val="17"/>
                <w:szCs w:val="17"/>
                <w:color w:val="auto"/>
              </w:rPr>
            </w:pPr>
          </w:p>
        </w:tc>
        <w:tc>
          <w:tcPr>
            <w:tcW w:w="1560" w:type="dxa"/>
            <w:vAlign w:val="bottom"/>
            <w:gridSpan w:val="2"/>
          </w:tcPr>
          <w:p>
            <w:pPr>
              <w:jc w:val="right"/>
              <w:ind w:right="259"/>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55,560</w:t>
            </w:r>
          </w:p>
        </w:tc>
        <w:tc>
          <w:tcPr>
            <w:tcW w:w="80" w:type="dxa"/>
            <w:vAlign w:val="bottom"/>
          </w:tcPr>
          <w:p>
            <w:pPr>
              <w:spacing w:after="0"/>
              <w:rPr>
                <w:sz w:val="17"/>
                <w:szCs w:val="17"/>
                <w:color w:val="auto"/>
              </w:rPr>
            </w:pPr>
          </w:p>
        </w:tc>
        <w:tc>
          <w:tcPr>
            <w:tcW w:w="280" w:type="dxa"/>
            <w:vAlign w:val="bottom"/>
            <w:gridSpan w:val="2"/>
          </w:tcPr>
          <w:p>
            <w:pPr>
              <w:jc w:val="right"/>
              <w:ind w:right="40"/>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44,841</w:t>
            </w:r>
          </w:p>
        </w:tc>
        <w:tc>
          <w:tcPr>
            <w:tcW w:w="260" w:type="dxa"/>
            <w:vAlign w:val="bottom"/>
          </w:tcPr>
          <w:p>
            <w:pPr>
              <w:spacing w:after="0"/>
              <w:rPr>
                <w:sz w:val="17"/>
                <w:szCs w:val="17"/>
                <w:color w:val="auto"/>
              </w:rPr>
            </w:pPr>
          </w:p>
        </w:tc>
        <w:tc>
          <w:tcPr>
            <w:tcW w:w="440" w:type="dxa"/>
            <w:vAlign w:val="bottom"/>
          </w:tcPr>
          <w:p>
            <w:pPr>
              <w:jc w:val="right"/>
              <w:ind w:right="283"/>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46</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4980" w:type="dxa"/>
            <w:vAlign w:val="bottom"/>
            <w:vMerge w:val="restart"/>
          </w:tcPr>
          <w:p>
            <w:pPr>
              <w:spacing w:after="0"/>
              <w:rPr>
                <w:sz w:val="20"/>
                <w:szCs w:val="20"/>
                <w:color w:val="auto"/>
              </w:rPr>
            </w:pPr>
            <w:r>
              <w:rPr>
                <w:rFonts w:ascii="Arial" w:cs="Arial" w:eastAsia="Arial" w:hAnsi="Arial"/>
                <w:sz w:val="16"/>
                <w:szCs w:val="16"/>
                <w:b w:val="1"/>
                <w:bCs w:val="1"/>
                <w:color w:val="auto"/>
              </w:rPr>
              <w:t>Headline earnings per basic common share</w:t>
            </w:r>
          </w:p>
        </w:tc>
        <w:tc>
          <w:tcPr>
            <w:tcW w:w="11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6"/>
        </w:trPr>
        <w:tc>
          <w:tcPr>
            <w:tcW w:w="360" w:type="dxa"/>
            <w:vAlign w:val="bottom"/>
          </w:tcPr>
          <w:p>
            <w:pPr>
              <w:spacing w:after="0"/>
              <w:rPr>
                <w:sz w:val="24"/>
                <w:szCs w:val="24"/>
                <w:color w:val="auto"/>
              </w:rPr>
            </w:pPr>
          </w:p>
        </w:tc>
        <w:tc>
          <w:tcPr>
            <w:tcW w:w="4980" w:type="dxa"/>
            <w:vAlign w:val="bottom"/>
            <w:vMerge w:val="continue"/>
          </w:tcPr>
          <w:p>
            <w:pPr>
              <w:spacing w:after="0"/>
              <w:rPr>
                <w:sz w:val="24"/>
                <w:szCs w:val="24"/>
                <w:color w:val="auto"/>
              </w:rPr>
            </w:pPr>
          </w:p>
        </w:tc>
        <w:tc>
          <w:tcPr>
            <w:tcW w:w="1560" w:type="dxa"/>
            <w:vAlign w:val="bottom"/>
            <w:gridSpan w:val="2"/>
          </w:tcPr>
          <w:p>
            <w:pPr>
              <w:jc w:val="right"/>
              <w:ind w:right="259"/>
              <w:spacing w:after="0"/>
              <w:rPr>
                <w:sz w:val="20"/>
                <w:szCs w:val="20"/>
                <w:color w:val="auto"/>
              </w:rPr>
            </w:pPr>
            <w:r>
              <w:rPr>
                <w:rFonts w:ascii="Arial" w:cs="Arial" w:eastAsia="Arial" w:hAnsi="Arial"/>
                <w:sz w:val="16"/>
                <w:szCs w:val="16"/>
                <w:color w:val="auto"/>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1.11</w:t>
            </w:r>
          </w:p>
        </w:tc>
        <w:tc>
          <w:tcPr>
            <w:tcW w:w="80" w:type="dxa"/>
            <w:vAlign w:val="bottom"/>
          </w:tcPr>
          <w:p>
            <w:pPr>
              <w:spacing w:after="0"/>
              <w:rPr>
                <w:sz w:val="24"/>
                <w:szCs w:val="24"/>
                <w:color w:val="auto"/>
              </w:rPr>
            </w:pPr>
          </w:p>
        </w:tc>
        <w:tc>
          <w:tcPr>
            <w:tcW w:w="280" w:type="dxa"/>
            <w:vAlign w:val="bottom"/>
            <w:gridSpan w:val="2"/>
          </w:tcPr>
          <w:p>
            <w:pPr>
              <w:jc w:val="right"/>
              <w:ind w:right="40"/>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0.89</w:t>
            </w:r>
          </w:p>
        </w:tc>
        <w:tc>
          <w:tcPr>
            <w:tcW w:w="260" w:type="dxa"/>
            <w:vAlign w:val="bottom"/>
          </w:tcPr>
          <w:p>
            <w:pPr>
              <w:spacing w:after="0"/>
              <w:rPr>
                <w:sz w:val="24"/>
                <w:szCs w:val="24"/>
                <w:color w:val="auto"/>
              </w:rPr>
            </w:pPr>
          </w:p>
        </w:tc>
        <w:tc>
          <w:tcPr>
            <w:tcW w:w="440" w:type="dxa"/>
            <w:vAlign w:val="bottom"/>
          </w:tcPr>
          <w:p>
            <w:pPr>
              <w:jc w:val="right"/>
              <w:ind w:right="283"/>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360" w:type="dxa"/>
            <w:vAlign w:val="bottom"/>
          </w:tcPr>
          <w:p>
            <w:pPr>
              <w:spacing w:after="0"/>
              <w:rPr>
                <w:sz w:val="19"/>
                <w:szCs w:val="19"/>
                <w:color w:val="auto"/>
              </w:rPr>
            </w:pPr>
          </w:p>
        </w:tc>
        <w:tc>
          <w:tcPr>
            <w:tcW w:w="49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Headline earnings per diluted common share</w:t>
            </w:r>
          </w:p>
        </w:tc>
        <w:tc>
          <w:tcPr>
            <w:tcW w:w="1560" w:type="dxa"/>
            <w:vAlign w:val="bottom"/>
            <w:gridSpan w:val="2"/>
            <w:shd w:val="clear" w:color="auto" w:fill="CFF0FC"/>
          </w:tcPr>
          <w:p>
            <w:pPr>
              <w:jc w:val="right"/>
              <w:ind w:right="259"/>
              <w:spacing w:after="0"/>
              <w:rPr>
                <w:sz w:val="20"/>
                <w:szCs w:val="20"/>
                <w:color w:val="auto"/>
              </w:rPr>
            </w:pPr>
            <w:r>
              <w:rPr>
                <w:rFonts w:ascii="Arial" w:cs="Arial" w:eastAsia="Arial" w:hAnsi="Arial"/>
                <w:sz w:val="16"/>
                <w:szCs w:val="16"/>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1.09</w:t>
            </w:r>
          </w:p>
        </w:tc>
        <w:tc>
          <w:tcPr>
            <w:tcW w:w="8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0.88</w:t>
            </w: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jc w:val="right"/>
              <w:ind w:right="283"/>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right w:val="single" w:sz="8" w:color="CFF0FC"/>
            </w:tcBorders>
            <w:shd w:val="clear" w:color="auto" w:fill="CFF0FC"/>
          </w:tcPr>
          <w:p>
            <w:pPr>
              <w:spacing w:after="0"/>
              <w:rPr>
                <w:sz w:val="19"/>
                <w:szCs w:val="19"/>
                <w:color w:val="auto"/>
              </w:rPr>
            </w:pP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0"/>
        </w:trPr>
        <w:tc>
          <w:tcPr>
            <w:tcW w:w="360" w:type="dxa"/>
            <w:vAlign w:val="bottom"/>
            <w:tcBorders>
              <w:bottom w:val="single" w:sz="8" w:color="9A9A9A"/>
            </w:tcBorders>
          </w:tcPr>
          <w:p>
            <w:pPr>
              <w:spacing w:after="0"/>
              <w:rPr>
                <w:sz w:val="24"/>
                <w:szCs w:val="24"/>
                <w:color w:val="auto"/>
              </w:rPr>
            </w:pPr>
          </w:p>
        </w:tc>
        <w:tc>
          <w:tcPr>
            <w:tcW w:w="498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7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7132955</wp:posOffset>
            </wp:positionH>
            <wp:positionV relativeFrom="paragraph">
              <wp:posOffset>-29210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60"/>
          </w:cols>
          <w:pgMar w:left="320" w:top="571" w:right="319" w:bottom="1440" w:gutter="0" w:footer="0" w:header="0"/>
        </w:sectPr>
      </w:pPr>
    </w:p>
    <w:bookmarkStart w:id="11" w:name="page12"/>
    <w:bookmarkEnd w:id="11"/>
    <w:p>
      <w:pPr>
        <w:jc w:val="center"/>
        <w:ind w:right="-4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May 11, 2021</w:t>
      </w:r>
    </w:p>
    <w:p>
      <w:pPr>
        <w:spacing w:after="0" w:line="221" w:lineRule="exact"/>
        <w:rPr>
          <w:sz w:val="20"/>
          <w:szCs w:val="20"/>
          <w:color w:val="auto"/>
        </w:rPr>
      </w:pPr>
    </w:p>
    <w:p>
      <w:pPr>
        <w:jc w:val="center"/>
        <w:ind w:left="6740"/>
        <w:spacing w:after="0"/>
        <w:rPr>
          <w:sz w:val="20"/>
          <w:szCs w:val="20"/>
          <w:color w:val="auto"/>
        </w:rPr>
      </w:pPr>
      <w:r>
        <w:rPr>
          <w:rFonts w:ascii="Arial" w:cs="Arial" w:eastAsia="Arial" w:hAnsi="Arial"/>
          <w:sz w:val="18"/>
          <w:szCs w:val="18"/>
          <w:b w:val="1"/>
          <w:bCs w:val="1"/>
          <w:color w:val="auto"/>
        </w:rPr>
        <w:t>Textainer Group Holdings Limited</w:t>
      </w:r>
    </w:p>
    <w:p>
      <w:pPr>
        <w:spacing w:after="0" w:line="229" w:lineRule="exact"/>
        <w:rPr>
          <w:sz w:val="20"/>
          <w:szCs w:val="20"/>
          <w:color w:val="auto"/>
        </w:rPr>
      </w:pPr>
    </w:p>
    <w:p>
      <w:pPr>
        <w:ind w:left="7940"/>
        <w:spacing w:after="0"/>
        <w:rPr>
          <w:sz w:val="20"/>
          <w:szCs w:val="20"/>
          <w:color w:val="auto"/>
        </w:rPr>
      </w:pPr>
      <w:r>
        <w:rPr>
          <w:rFonts w:ascii="Arial" w:cs="Arial" w:eastAsia="Arial" w:hAnsi="Arial"/>
          <w:sz w:val="18"/>
          <w:szCs w:val="18"/>
          <w:color w:val="auto"/>
        </w:rPr>
        <w:t>/s/ OLIVIER GHESQUIERE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3" w:lineRule="exact"/>
        <w:rPr>
          <w:sz w:val="20"/>
          <w:szCs w:val="20"/>
          <w:color w:val="auto"/>
        </w:rPr>
      </w:pPr>
    </w:p>
    <w:p>
      <w:pPr>
        <w:ind w:left="8320"/>
        <w:spacing w:after="0"/>
        <w:rPr>
          <w:sz w:val="20"/>
          <w:szCs w:val="20"/>
          <w:color w:val="auto"/>
        </w:rPr>
      </w:pPr>
      <w:r>
        <w:rPr>
          <w:rFonts w:ascii="Arial" w:cs="Arial" w:eastAsia="Arial" w:hAnsi="Arial"/>
          <w:sz w:val="18"/>
          <w:szCs w:val="18"/>
          <w:color w:val="auto"/>
        </w:rPr>
        <w:t>Olivier Ghesquiere</w:t>
      </w:r>
    </w:p>
    <w:p>
      <w:pPr>
        <w:spacing w:after="0" w:line="23" w:lineRule="exact"/>
        <w:rPr>
          <w:sz w:val="20"/>
          <w:szCs w:val="20"/>
          <w:color w:val="auto"/>
        </w:rPr>
      </w:pPr>
    </w:p>
    <w:p>
      <w:pPr>
        <w:ind w:left="7620"/>
        <w:spacing w:after="0"/>
        <w:rPr>
          <w:sz w:val="20"/>
          <w:szCs w:val="20"/>
          <w:color w:val="auto"/>
        </w:rPr>
      </w:pPr>
      <w:r>
        <w:rPr>
          <w:rFonts w:ascii="Arial" w:cs="Arial" w:eastAsia="Arial" w:hAnsi="Arial"/>
          <w:sz w:val="18"/>
          <w:szCs w:val="18"/>
          <w:color w:val="auto"/>
        </w:rPr>
        <w:t>President and Chief Executive Officer</w:t>
      </w:r>
    </w:p>
    <w:sectPr>
      <w:pgSz w:w="11900" w:h="16838" w:orient="portrait"/>
      <w:cols w:equalWidth="0" w:num="1">
        <w:col w:w="10800"/>
      </w:cols>
      <w:pgMar w:left="320" w:top="337" w:right="7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lvl w:ilvl="1">
      <w:lvlJc w:val="left"/>
      <w:lvlText w:val="(%2)"/>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2021-05-12T09:37:11Z</dcterms:created>
  <dcterms:modified xsi:type="dcterms:W3CDTF">2021-05-12T09:37:11Z</dcterms:modified>
</cp:coreProperties>
</file>